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ordWrap/>
        <w:topLinePunct w:val="0"/>
        <w:bidi w:val="0"/>
        <w:spacing w:line="0" w:lineRule="atLeast"/>
        <w:rPr>
          <w:rFonts w:hint="eastAsia" w:ascii="黑体" w:hAnsi="黑体" w:eastAsia="黑体" w:cs="黑体"/>
          <w:b w:val="0"/>
          <w:bCs w:val="0"/>
          <w:sz w:val="32"/>
          <w:szCs w:val="28"/>
          <w:lang w:val="en-US" w:eastAsia="zh-CN"/>
        </w:rPr>
      </w:pPr>
      <w:r>
        <w:rPr>
          <w:rFonts w:hint="eastAsia" w:ascii="黑体" w:hAnsi="黑体" w:eastAsia="黑体" w:cs="黑体"/>
          <w:b w:val="0"/>
          <w:bCs w:val="0"/>
          <w:sz w:val="32"/>
          <w:szCs w:val="28"/>
          <w:lang w:eastAsia="zh-CN"/>
        </w:rPr>
        <w:t>附件</w:t>
      </w:r>
      <w:r>
        <w:rPr>
          <w:rFonts w:hint="eastAsia" w:ascii="黑体" w:hAnsi="黑体" w:eastAsia="黑体" w:cs="黑体"/>
          <w:b w:val="0"/>
          <w:bCs w:val="0"/>
          <w:sz w:val="32"/>
          <w:szCs w:val="28"/>
          <w:lang w:val="en-US" w:eastAsia="zh-CN"/>
        </w:rPr>
        <w:t>3</w:t>
      </w:r>
    </w:p>
    <w:p>
      <w:pPr>
        <w:pageBreakBefore w:val="0"/>
        <w:wordWrap/>
        <w:topLinePunct w:val="0"/>
        <w:bidi w:val="0"/>
        <w:spacing w:line="0" w:lineRule="atLeast"/>
        <w:jc w:val="center"/>
        <w:rPr>
          <w:rFonts w:hint="eastAsia" w:ascii="黑体" w:hAnsi="黑体" w:eastAsia="黑体" w:cs="黑体"/>
          <w:b w:val="0"/>
          <w:bCs w:val="0"/>
          <w:sz w:val="32"/>
          <w:szCs w:val="28"/>
        </w:rPr>
      </w:pPr>
      <w:r>
        <w:rPr>
          <w:rFonts w:hint="eastAsia" w:ascii="黑体" w:hAnsi="黑体" w:eastAsia="黑体" w:cs="黑体"/>
          <w:b w:val="0"/>
          <w:bCs w:val="0"/>
          <w:sz w:val="32"/>
          <w:szCs w:val="28"/>
        </w:rPr>
        <w:t>申请人须知</w:t>
      </w:r>
    </w:p>
    <w:p>
      <w:pPr>
        <w:pageBreakBefore w:val="0"/>
        <w:wordWrap/>
        <w:topLinePunct w:val="0"/>
        <w:bidi w:val="0"/>
        <w:spacing w:line="0" w:lineRule="atLeast"/>
        <w:rPr>
          <w:rFonts w:ascii="仿宋" w:hAnsi="仿宋" w:eastAsia="仿宋" w:cs="宋体"/>
          <w:bCs/>
          <w:sz w:val="28"/>
          <w:szCs w:val="28"/>
        </w:rPr>
      </w:pPr>
      <w:r>
        <w:rPr>
          <w:rFonts w:hint="eastAsia" w:ascii="仿宋" w:hAnsi="仿宋" w:eastAsia="仿宋" w:cs="宋体"/>
          <w:bCs/>
          <w:sz w:val="28"/>
          <w:szCs w:val="28"/>
        </w:rPr>
        <w:t>1、遴选响应文件签署和盖章要求：遴选响应文件需打印或用不退色墨水书写，由申请人的法定代表人或其授权代表在遴选文件规定的地方签字，并进行逐页盖章或加盖骑缝章。</w:t>
      </w:r>
    </w:p>
    <w:p>
      <w:pPr>
        <w:pageBreakBefore w:val="0"/>
        <w:wordWrap/>
        <w:topLinePunct w:val="0"/>
        <w:bidi w:val="0"/>
        <w:spacing w:line="0" w:lineRule="atLeast"/>
        <w:rPr>
          <w:rFonts w:ascii="仿宋" w:hAnsi="仿宋" w:eastAsia="仿宋" w:cs="宋体"/>
          <w:b/>
          <w:bCs/>
          <w:sz w:val="28"/>
          <w:szCs w:val="28"/>
        </w:rPr>
      </w:pPr>
      <w:r>
        <w:rPr>
          <w:rFonts w:hint="eastAsia" w:ascii="仿宋" w:hAnsi="仿宋" w:eastAsia="仿宋" w:cs="宋体"/>
          <w:bCs/>
          <w:sz w:val="28"/>
          <w:szCs w:val="28"/>
        </w:rPr>
        <w:t>2、遴选小组对申请人的遴选响应文件进行商务审查，以确定其是否满足遴选文件的实质性要求，并形成商务审查结果。申请人有任何一项不符合《商务审查表》要求的，</w:t>
      </w:r>
      <w:r>
        <w:rPr>
          <w:rFonts w:hint="eastAsia" w:ascii="仿宋" w:hAnsi="仿宋" w:eastAsia="仿宋" w:cs="宋体"/>
          <w:b/>
          <w:bCs/>
          <w:sz w:val="28"/>
          <w:szCs w:val="28"/>
        </w:rPr>
        <w:t>遴选响应无效。</w:t>
      </w:r>
    </w:p>
    <w:p>
      <w:pPr>
        <w:pageBreakBefore w:val="0"/>
        <w:wordWrap/>
        <w:topLinePunct w:val="0"/>
        <w:bidi w:val="0"/>
        <w:spacing w:line="0" w:lineRule="atLeast"/>
        <w:jc w:val="center"/>
        <w:outlineLvl w:val="1"/>
        <w:rPr>
          <w:rFonts w:hint="eastAsia" w:ascii="黑体" w:hAnsi="黑体" w:eastAsia="黑体" w:cs="黑体"/>
          <w:bCs/>
          <w:sz w:val="32"/>
          <w:szCs w:val="32"/>
        </w:rPr>
      </w:pPr>
      <w:r>
        <w:rPr>
          <w:rFonts w:hint="eastAsia" w:ascii="黑体" w:hAnsi="黑体" w:eastAsia="黑体" w:cs="黑体"/>
          <w:bCs/>
          <w:sz w:val="32"/>
          <w:szCs w:val="32"/>
        </w:rPr>
        <w:t>商务审查表</w:t>
      </w:r>
    </w:p>
    <w:tbl>
      <w:tblPr>
        <w:tblStyle w:val="21"/>
        <w:tblW w:w="0" w:type="auto"/>
        <w:tblInd w:w="0" w:type="dxa"/>
        <w:tblLayout w:type="fixed"/>
        <w:tblCellMar>
          <w:top w:w="0" w:type="dxa"/>
          <w:left w:w="108" w:type="dxa"/>
          <w:bottom w:w="0" w:type="dxa"/>
          <w:right w:w="108" w:type="dxa"/>
        </w:tblCellMar>
      </w:tblPr>
      <w:tblGrid>
        <w:gridCol w:w="1102"/>
        <w:gridCol w:w="4042"/>
        <w:gridCol w:w="3384"/>
      </w:tblGrid>
      <w:tr>
        <w:tblPrEx>
          <w:tblCellMar>
            <w:top w:w="0" w:type="dxa"/>
            <w:left w:w="108" w:type="dxa"/>
            <w:bottom w:w="0" w:type="dxa"/>
            <w:right w:w="108" w:type="dxa"/>
          </w:tblCellMar>
        </w:tblPrEx>
        <w:trPr>
          <w:trHeight w:val="840" w:hRule="atLeast"/>
        </w:trPr>
        <w:tc>
          <w:tcPr>
            <w:tcW w:w="1102"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wordWrap/>
              <w:topLinePunct w:val="0"/>
              <w:bidi w:val="0"/>
              <w:spacing w:line="0" w:lineRule="atLeast"/>
              <w:jc w:val="center"/>
              <w:rPr>
                <w:rFonts w:ascii="仿宋" w:hAnsi="仿宋" w:eastAsia="仿宋" w:cs="宋体"/>
                <w:kern w:val="0"/>
                <w:sz w:val="28"/>
                <w:szCs w:val="28"/>
              </w:rPr>
            </w:pPr>
            <w:r>
              <w:rPr>
                <w:rFonts w:hint="eastAsia" w:ascii="仿宋" w:hAnsi="仿宋" w:eastAsia="仿宋" w:cs="宋体"/>
                <w:kern w:val="0"/>
                <w:sz w:val="28"/>
                <w:szCs w:val="28"/>
              </w:rPr>
              <w:t>序号</w:t>
            </w:r>
          </w:p>
        </w:tc>
        <w:tc>
          <w:tcPr>
            <w:tcW w:w="7426" w:type="dxa"/>
            <w:gridSpan w:val="2"/>
            <w:tcBorders>
              <w:top w:val="single" w:color="auto" w:sz="4" w:space="0"/>
              <w:left w:val="nil"/>
              <w:bottom w:val="single" w:color="auto" w:sz="4" w:space="0"/>
              <w:right w:val="single" w:color="auto" w:sz="4" w:space="0"/>
            </w:tcBorders>
            <w:noWrap w:val="0"/>
            <w:vAlign w:val="center"/>
          </w:tcPr>
          <w:p>
            <w:pPr>
              <w:pageBreakBefore w:val="0"/>
              <w:widowControl/>
              <w:wordWrap/>
              <w:topLinePunct w:val="0"/>
              <w:bidi w:val="0"/>
              <w:spacing w:line="0" w:lineRule="atLeast"/>
              <w:jc w:val="center"/>
              <w:rPr>
                <w:rFonts w:ascii="仿宋" w:hAnsi="仿宋" w:eastAsia="仿宋"/>
                <w:kern w:val="0"/>
                <w:sz w:val="20"/>
                <w:szCs w:val="20"/>
              </w:rPr>
            </w:pPr>
            <w:r>
              <w:rPr>
                <w:rFonts w:hint="eastAsia" w:ascii="仿宋" w:hAnsi="仿宋" w:eastAsia="仿宋" w:cs="宋体"/>
                <w:kern w:val="0"/>
                <w:sz w:val="28"/>
                <w:szCs w:val="28"/>
              </w:rPr>
              <w:t>审查内容</w:t>
            </w:r>
          </w:p>
        </w:tc>
      </w:tr>
      <w:tr>
        <w:tblPrEx>
          <w:tblCellMar>
            <w:top w:w="0" w:type="dxa"/>
            <w:left w:w="108" w:type="dxa"/>
            <w:bottom w:w="0" w:type="dxa"/>
            <w:right w:w="108" w:type="dxa"/>
          </w:tblCellMar>
        </w:tblPrEx>
        <w:trPr>
          <w:trHeight w:val="668" w:hRule="atLeast"/>
        </w:trPr>
        <w:tc>
          <w:tcPr>
            <w:tcW w:w="1102" w:type="dxa"/>
            <w:tcBorders>
              <w:top w:val="nil"/>
              <w:left w:val="single" w:color="auto" w:sz="4" w:space="0"/>
              <w:bottom w:val="single" w:color="auto" w:sz="4" w:space="0"/>
              <w:right w:val="single" w:color="auto" w:sz="4" w:space="0"/>
            </w:tcBorders>
            <w:noWrap w:val="0"/>
            <w:vAlign w:val="center"/>
          </w:tcPr>
          <w:p>
            <w:pPr>
              <w:pageBreakBefore w:val="0"/>
              <w:widowControl/>
              <w:wordWrap/>
              <w:topLinePunct w:val="0"/>
              <w:bidi w:val="0"/>
              <w:spacing w:line="0" w:lineRule="atLeast"/>
              <w:jc w:val="center"/>
              <w:rPr>
                <w:rFonts w:ascii="仿宋" w:hAnsi="仿宋" w:eastAsia="仿宋" w:cs="宋体"/>
                <w:kern w:val="0"/>
                <w:sz w:val="28"/>
                <w:szCs w:val="28"/>
              </w:rPr>
            </w:pPr>
            <w:r>
              <w:rPr>
                <w:rFonts w:hint="eastAsia" w:ascii="仿宋" w:hAnsi="仿宋" w:eastAsia="仿宋" w:cs="宋体"/>
                <w:kern w:val="0"/>
                <w:sz w:val="28"/>
                <w:szCs w:val="28"/>
              </w:rPr>
              <w:t>1</w:t>
            </w:r>
          </w:p>
        </w:tc>
        <w:tc>
          <w:tcPr>
            <w:tcW w:w="7426" w:type="dxa"/>
            <w:gridSpan w:val="2"/>
            <w:tcBorders>
              <w:top w:val="nil"/>
              <w:left w:val="single" w:color="000000" w:sz="4" w:space="0"/>
              <w:bottom w:val="single" w:color="000000" w:sz="4" w:space="0"/>
              <w:right w:val="single" w:color="auto" w:sz="4" w:space="0"/>
            </w:tcBorders>
            <w:noWrap w:val="0"/>
            <w:vAlign w:val="center"/>
          </w:tcPr>
          <w:p>
            <w:pPr>
              <w:pageBreakBefore w:val="0"/>
              <w:widowControl/>
              <w:wordWrap/>
              <w:topLinePunct w:val="0"/>
              <w:bidi w:val="0"/>
              <w:spacing w:line="0" w:lineRule="atLeast"/>
              <w:jc w:val="left"/>
              <w:rPr>
                <w:rFonts w:ascii="仿宋" w:hAnsi="仿宋" w:eastAsia="仿宋" w:cs="宋体"/>
                <w:kern w:val="0"/>
                <w:sz w:val="28"/>
                <w:szCs w:val="28"/>
              </w:rPr>
            </w:pPr>
            <w:r>
              <w:rPr>
                <w:rFonts w:hint="eastAsia" w:ascii="仿宋" w:hAnsi="仿宋" w:eastAsia="仿宋" w:cs="宋体"/>
                <w:kern w:val="0"/>
                <w:sz w:val="28"/>
                <w:szCs w:val="28"/>
              </w:rPr>
              <w:t>遴选报价是否超过遴选文件规定预算金额</w:t>
            </w:r>
          </w:p>
        </w:tc>
      </w:tr>
      <w:tr>
        <w:tblPrEx>
          <w:tblCellMar>
            <w:top w:w="0" w:type="dxa"/>
            <w:left w:w="108" w:type="dxa"/>
            <w:bottom w:w="0" w:type="dxa"/>
            <w:right w:w="108" w:type="dxa"/>
          </w:tblCellMar>
        </w:tblPrEx>
        <w:trPr>
          <w:trHeight w:val="706" w:hRule="atLeast"/>
        </w:trPr>
        <w:tc>
          <w:tcPr>
            <w:tcW w:w="1102" w:type="dxa"/>
            <w:tcBorders>
              <w:top w:val="nil"/>
              <w:left w:val="single" w:color="auto" w:sz="4" w:space="0"/>
              <w:bottom w:val="single" w:color="auto" w:sz="4" w:space="0"/>
              <w:right w:val="single" w:color="auto" w:sz="4" w:space="0"/>
            </w:tcBorders>
            <w:noWrap w:val="0"/>
            <w:vAlign w:val="center"/>
          </w:tcPr>
          <w:p>
            <w:pPr>
              <w:pageBreakBefore w:val="0"/>
              <w:widowControl/>
              <w:wordWrap/>
              <w:topLinePunct w:val="0"/>
              <w:bidi w:val="0"/>
              <w:spacing w:line="0" w:lineRule="atLeast"/>
              <w:jc w:val="center"/>
              <w:rPr>
                <w:rFonts w:ascii="仿宋" w:hAnsi="仿宋" w:eastAsia="仿宋" w:cs="宋体"/>
                <w:kern w:val="0"/>
                <w:sz w:val="28"/>
                <w:szCs w:val="28"/>
              </w:rPr>
            </w:pPr>
            <w:r>
              <w:rPr>
                <w:rFonts w:hint="eastAsia" w:ascii="仿宋" w:hAnsi="仿宋" w:eastAsia="仿宋" w:cs="宋体"/>
                <w:kern w:val="0"/>
                <w:sz w:val="28"/>
                <w:szCs w:val="28"/>
              </w:rPr>
              <w:t>2</w:t>
            </w:r>
          </w:p>
        </w:tc>
        <w:tc>
          <w:tcPr>
            <w:tcW w:w="7426" w:type="dxa"/>
            <w:gridSpan w:val="2"/>
            <w:tcBorders>
              <w:top w:val="nil"/>
              <w:left w:val="single" w:color="000000" w:sz="4" w:space="0"/>
              <w:bottom w:val="single" w:color="000000" w:sz="4" w:space="0"/>
              <w:right w:val="single" w:color="auto" w:sz="4" w:space="0"/>
            </w:tcBorders>
            <w:noWrap w:val="0"/>
            <w:vAlign w:val="center"/>
          </w:tcPr>
          <w:p>
            <w:pPr>
              <w:pageBreakBefore w:val="0"/>
              <w:widowControl/>
              <w:wordWrap/>
              <w:topLinePunct w:val="0"/>
              <w:bidi w:val="0"/>
              <w:spacing w:line="0" w:lineRule="atLeast"/>
              <w:jc w:val="left"/>
              <w:rPr>
                <w:rFonts w:ascii="仿宋" w:hAnsi="仿宋" w:eastAsia="仿宋" w:cs="宋体"/>
                <w:kern w:val="0"/>
                <w:sz w:val="28"/>
                <w:szCs w:val="28"/>
              </w:rPr>
            </w:pPr>
            <w:r>
              <w:rPr>
                <w:rFonts w:hint="eastAsia" w:ascii="仿宋" w:hAnsi="仿宋" w:eastAsia="仿宋" w:cs="宋体"/>
                <w:kern w:val="0"/>
                <w:sz w:val="28"/>
                <w:szCs w:val="28"/>
              </w:rPr>
              <w:t>遴选文件的签署、盖章是否合格</w:t>
            </w:r>
          </w:p>
        </w:tc>
      </w:tr>
      <w:tr>
        <w:tblPrEx>
          <w:tblCellMar>
            <w:top w:w="0" w:type="dxa"/>
            <w:left w:w="108" w:type="dxa"/>
            <w:bottom w:w="0" w:type="dxa"/>
            <w:right w:w="108" w:type="dxa"/>
          </w:tblCellMar>
        </w:tblPrEx>
        <w:trPr>
          <w:trHeight w:val="830" w:hRule="atLeast"/>
        </w:trPr>
        <w:tc>
          <w:tcPr>
            <w:tcW w:w="1102" w:type="dxa"/>
            <w:tcBorders>
              <w:top w:val="nil"/>
              <w:left w:val="single" w:color="auto" w:sz="4" w:space="0"/>
              <w:bottom w:val="single" w:color="auto" w:sz="4" w:space="0"/>
              <w:right w:val="single" w:color="auto" w:sz="4" w:space="0"/>
            </w:tcBorders>
            <w:noWrap w:val="0"/>
            <w:vAlign w:val="center"/>
          </w:tcPr>
          <w:p>
            <w:pPr>
              <w:pageBreakBefore w:val="0"/>
              <w:widowControl/>
              <w:wordWrap/>
              <w:topLinePunct w:val="0"/>
              <w:bidi w:val="0"/>
              <w:spacing w:line="0" w:lineRule="atLeast"/>
              <w:jc w:val="center"/>
              <w:rPr>
                <w:rFonts w:ascii="仿宋" w:hAnsi="仿宋" w:eastAsia="仿宋" w:cs="宋体"/>
                <w:kern w:val="0"/>
                <w:sz w:val="28"/>
                <w:szCs w:val="28"/>
              </w:rPr>
            </w:pPr>
            <w:r>
              <w:rPr>
                <w:rFonts w:hint="eastAsia" w:ascii="仿宋" w:hAnsi="仿宋" w:eastAsia="仿宋" w:cs="宋体"/>
                <w:kern w:val="0"/>
                <w:sz w:val="28"/>
                <w:szCs w:val="28"/>
              </w:rPr>
              <w:t>3</w:t>
            </w:r>
          </w:p>
        </w:tc>
        <w:tc>
          <w:tcPr>
            <w:tcW w:w="7426" w:type="dxa"/>
            <w:gridSpan w:val="2"/>
            <w:tcBorders>
              <w:top w:val="nil"/>
              <w:left w:val="single" w:color="auto" w:sz="4" w:space="0"/>
              <w:bottom w:val="single" w:color="auto" w:sz="4" w:space="0"/>
              <w:right w:val="single" w:color="auto" w:sz="4" w:space="0"/>
            </w:tcBorders>
            <w:noWrap w:val="0"/>
            <w:vAlign w:val="center"/>
          </w:tcPr>
          <w:p>
            <w:pPr>
              <w:pageBreakBefore w:val="0"/>
              <w:widowControl/>
              <w:wordWrap/>
              <w:topLinePunct w:val="0"/>
              <w:bidi w:val="0"/>
              <w:spacing w:line="0" w:lineRule="atLeast"/>
              <w:jc w:val="left"/>
              <w:rPr>
                <w:rFonts w:ascii="仿宋" w:hAnsi="仿宋" w:eastAsia="仿宋" w:cs="宋体"/>
                <w:kern w:val="0"/>
                <w:sz w:val="28"/>
                <w:szCs w:val="28"/>
              </w:rPr>
            </w:pPr>
            <w:r>
              <w:rPr>
                <w:rFonts w:hint="eastAsia" w:ascii="仿宋" w:hAnsi="仿宋" w:eastAsia="仿宋" w:cs="宋体"/>
                <w:kern w:val="0"/>
                <w:sz w:val="28"/>
                <w:szCs w:val="28"/>
              </w:rPr>
              <w:t>是否提供满足遴选文件中要求的申请人资格要求的承诺函</w:t>
            </w:r>
          </w:p>
        </w:tc>
      </w:tr>
      <w:tr>
        <w:tblPrEx>
          <w:tblCellMar>
            <w:top w:w="0" w:type="dxa"/>
            <w:left w:w="108" w:type="dxa"/>
            <w:bottom w:w="0" w:type="dxa"/>
            <w:right w:w="108" w:type="dxa"/>
          </w:tblCellMar>
        </w:tblPrEx>
        <w:trPr>
          <w:trHeight w:val="765" w:hRule="atLeast"/>
        </w:trPr>
        <w:tc>
          <w:tcPr>
            <w:tcW w:w="5144" w:type="dxa"/>
            <w:gridSpan w:val="2"/>
            <w:tcBorders>
              <w:top w:val="single" w:color="auto" w:sz="4" w:space="0"/>
              <w:left w:val="single" w:color="auto" w:sz="4" w:space="0"/>
              <w:bottom w:val="single" w:color="auto" w:sz="4" w:space="0"/>
              <w:right w:val="nil"/>
            </w:tcBorders>
            <w:noWrap w:val="0"/>
            <w:vAlign w:val="center"/>
          </w:tcPr>
          <w:p>
            <w:pPr>
              <w:pageBreakBefore w:val="0"/>
              <w:widowControl/>
              <w:wordWrap/>
              <w:topLinePunct w:val="0"/>
              <w:bidi w:val="0"/>
              <w:spacing w:line="0" w:lineRule="atLeast"/>
              <w:jc w:val="center"/>
              <w:rPr>
                <w:rFonts w:ascii="仿宋" w:hAnsi="仿宋" w:eastAsia="仿宋" w:cs="宋体"/>
                <w:kern w:val="0"/>
                <w:sz w:val="28"/>
                <w:szCs w:val="28"/>
              </w:rPr>
            </w:pPr>
            <w:r>
              <w:rPr>
                <w:rFonts w:hint="eastAsia" w:ascii="仿宋" w:hAnsi="仿宋" w:eastAsia="仿宋" w:cs="宋体"/>
                <w:kern w:val="0"/>
                <w:sz w:val="28"/>
                <w:szCs w:val="28"/>
              </w:rPr>
              <w:t>结论</w:t>
            </w:r>
          </w:p>
        </w:tc>
        <w:tc>
          <w:tcPr>
            <w:tcW w:w="3384" w:type="dxa"/>
            <w:tcBorders>
              <w:top w:val="nil"/>
              <w:left w:val="single" w:color="auto" w:sz="4" w:space="0"/>
              <w:bottom w:val="single" w:color="auto" w:sz="4" w:space="0"/>
              <w:right w:val="single" w:color="auto" w:sz="4" w:space="0"/>
            </w:tcBorders>
            <w:noWrap w:val="0"/>
            <w:vAlign w:val="center"/>
          </w:tcPr>
          <w:p>
            <w:pPr>
              <w:pageBreakBefore w:val="0"/>
              <w:widowControl/>
              <w:wordWrap/>
              <w:topLinePunct w:val="0"/>
              <w:bidi w:val="0"/>
              <w:spacing w:line="0" w:lineRule="atLeast"/>
              <w:jc w:val="center"/>
              <w:rPr>
                <w:rFonts w:ascii="仿宋" w:hAnsi="仿宋" w:eastAsia="仿宋" w:cs="宋体"/>
                <w:kern w:val="0"/>
                <w:sz w:val="28"/>
                <w:szCs w:val="28"/>
              </w:rPr>
            </w:pPr>
            <w:r>
              <w:rPr>
                <w:rFonts w:hint="eastAsia" w:ascii="仿宋" w:hAnsi="仿宋" w:eastAsia="仿宋" w:cs="宋体"/>
                <w:kern w:val="0"/>
                <w:sz w:val="28"/>
                <w:szCs w:val="28"/>
              </w:rPr>
              <w:t>合格/不合格</w:t>
            </w:r>
          </w:p>
        </w:tc>
      </w:tr>
    </w:tbl>
    <w:p>
      <w:pPr>
        <w:pageBreakBefore w:val="0"/>
        <w:wordWrap/>
        <w:topLinePunct w:val="0"/>
        <w:bidi w:val="0"/>
        <w:spacing w:line="0" w:lineRule="atLeast"/>
        <w:rPr>
          <w:rFonts w:ascii="仿宋" w:hAnsi="仿宋" w:eastAsia="仿宋" w:cs="宋体"/>
          <w:bCs/>
          <w:sz w:val="28"/>
          <w:szCs w:val="28"/>
        </w:rPr>
      </w:pPr>
      <w:r>
        <w:rPr>
          <w:rFonts w:hint="eastAsia" w:ascii="仿宋" w:hAnsi="仿宋" w:eastAsia="仿宋" w:cs="宋体"/>
          <w:bCs/>
          <w:sz w:val="28"/>
          <w:szCs w:val="28"/>
        </w:rPr>
        <w:t>3、遴选响应文件有关事项的澄清或者说明：评审过程中，遴选小组会将以书面形式要求申请人对其遴选响应文件中含义不明确、同类问题表述不一致或者有明显文字和计算错误的内容，作出必要的澄清、说明或者补正。申请人的澄清、说明或者补正应当采用书面形式，并加盖公章，或者由法定代表人或其授权的代表签字。申请人的澄清、说明或者补正不得超出遴选文件的范围或者改变遴选文件的实质性内容。澄清文件将作为遴选文件内容的一部分。</w:t>
      </w:r>
    </w:p>
    <w:p>
      <w:pPr>
        <w:pageBreakBefore w:val="0"/>
        <w:wordWrap/>
        <w:topLinePunct w:val="0"/>
        <w:bidi w:val="0"/>
        <w:spacing w:line="0" w:lineRule="atLeast"/>
        <w:rPr>
          <w:rFonts w:hint="eastAsia" w:ascii="仿宋" w:hAnsi="仿宋" w:eastAsia="仿宋" w:cs="宋体"/>
          <w:bCs/>
          <w:sz w:val="28"/>
          <w:szCs w:val="28"/>
        </w:rPr>
      </w:pPr>
      <w:r>
        <w:rPr>
          <w:rFonts w:hint="eastAsia" w:ascii="仿宋" w:hAnsi="仿宋" w:eastAsia="仿宋" w:cs="宋体"/>
          <w:bCs/>
          <w:sz w:val="28"/>
          <w:szCs w:val="28"/>
        </w:rPr>
        <w:t>4、本项目采用的评标方法为综合评分法。采用综合评分法时，评审结果按评审后得分由高到低顺序排列。得分相同的，按遴选响应报价由低到高顺序排列。得分且遴选响应报价相同的并列。遴选响应文件满足遴选文件全部实质性要求，且按照评审因素的量化指标评审得分最高的申请人为排名第一的成交候选人。</w:t>
      </w:r>
      <w:r>
        <w:rPr>
          <w:rFonts w:hint="eastAsia" w:ascii="仿宋" w:hAnsi="仿宋" w:eastAsia="仿宋" w:cs="宋体"/>
          <w:b/>
          <w:bCs/>
          <w:sz w:val="28"/>
          <w:szCs w:val="28"/>
        </w:rPr>
        <w:t>由各业务处室最终决定成交申请人。</w:t>
      </w:r>
      <w:r>
        <w:rPr>
          <w:rFonts w:hint="eastAsia" w:ascii="仿宋" w:hAnsi="仿宋" w:eastAsia="仿宋" w:cs="宋体"/>
          <w:bCs/>
          <w:sz w:val="28"/>
          <w:szCs w:val="28"/>
        </w:rPr>
        <w:t>评分分值计算保留小数点后两位，第三位四舍五入。</w:t>
      </w:r>
    </w:p>
    <w:p>
      <w:pPr>
        <w:pageBreakBefore w:val="0"/>
        <w:wordWrap/>
        <w:topLinePunct w:val="0"/>
        <w:bidi w:val="0"/>
        <w:spacing w:line="0" w:lineRule="atLeast"/>
        <w:rPr>
          <w:rFonts w:ascii="仿宋" w:hAnsi="仿宋" w:eastAsia="仿宋" w:cs="宋体"/>
          <w:b/>
          <w:bCs/>
          <w:color w:val="FF0000"/>
          <w:sz w:val="28"/>
          <w:szCs w:val="28"/>
        </w:rPr>
      </w:pPr>
      <w:r>
        <w:rPr>
          <w:rFonts w:hint="eastAsia" w:ascii="仿宋" w:hAnsi="仿宋" w:eastAsia="仿宋" w:cs="宋体"/>
          <w:b/>
          <w:bCs/>
          <w:color w:val="FF0000"/>
          <w:sz w:val="28"/>
          <w:szCs w:val="28"/>
        </w:rPr>
        <w:t>5、本项目如仅有1家供应商进入到综合打分，则该供应商的总分应不低于60分，否则按废标处理。</w:t>
      </w:r>
    </w:p>
    <w:p>
      <w:pPr>
        <w:pageBreakBefore w:val="0"/>
        <w:wordWrap/>
        <w:topLinePunct w:val="0"/>
        <w:bidi w:val="0"/>
        <w:spacing w:line="0" w:lineRule="atLeast"/>
        <w:rPr>
          <w:rFonts w:ascii="仿宋" w:hAnsi="仿宋" w:eastAsia="仿宋" w:cs="宋体"/>
          <w:bCs/>
          <w:sz w:val="28"/>
          <w:szCs w:val="28"/>
        </w:rPr>
      </w:pPr>
      <w:r>
        <w:rPr>
          <w:rFonts w:hint="eastAsia" w:ascii="仿宋" w:hAnsi="仿宋" w:eastAsia="仿宋" w:cs="宋体"/>
          <w:bCs/>
          <w:sz w:val="28"/>
          <w:szCs w:val="28"/>
        </w:rPr>
        <w:t>6、成交供应商拒绝与采购人签订合同的，采购人可以按照评审报告推荐的成交候选人名单排序，确定下一候选人为成交供应商，也可以重新开展政府采购活动。</w:t>
      </w:r>
    </w:p>
    <w:p>
      <w:pPr>
        <w:pageBreakBefore w:val="0"/>
        <w:widowControl/>
        <w:wordWrap/>
        <w:topLinePunct w:val="0"/>
        <w:bidi w:val="0"/>
        <w:spacing w:line="0" w:lineRule="atLeast"/>
        <w:jc w:val="center"/>
        <w:rPr>
          <w:rFonts w:hint="eastAsia" w:ascii="黑体" w:hAnsi="黑体" w:eastAsia="黑体" w:cs="黑体"/>
          <w:b w:val="0"/>
          <w:bCs w:val="0"/>
          <w:sz w:val="32"/>
          <w:szCs w:val="32"/>
        </w:rPr>
      </w:pPr>
      <w:r>
        <w:rPr>
          <w:rFonts w:ascii="仿宋" w:hAnsi="仿宋" w:eastAsia="仿宋" w:cs="宋体"/>
          <w:b/>
          <w:bCs/>
          <w:sz w:val="28"/>
          <w:szCs w:val="28"/>
        </w:rPr>
        <w:br w:type="page"/>
      </w:r>
      <w:r>
        <w:rPr>
          <w:rFonts w:hint="eastAsia" w:ascii="黑体" w:hAnsi="黑体" w:eastAsia="黑体" w:cs="黑体"/>
          <w:b w:val="0"/>
          <w:bCs w:val="0"/>
          <w:sz w:val="32"/>
          <w:szCs w:val="32"/>
        </w:rPr>
        <w:t>评分标准</w:t>
      </w:r>
    </w:p>
    <w:p>
      <w:pPr>
        <w:pageBreakBefore w:val="0"/>
        <w:wordWrap/>
        <w:topLinePunct w:val="0"/>
        <w:bidi w:val="0"/>
        <w:spacing w:line="0" w:lineRule="atLeast"/>
        <w:rPr>
          <w:rFonts w:ascii="仿宋" w:hAnsi="仿宋" w:eastAsia="仿宋" w:cs="宋体"/>
          <w:szCs w:val="21"/>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8"/>
        <w:gridCol w:w="1590"/>
        <w:gridCol w:w="5065"/>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8" w:type="dxa"/>
            <w:noWrap w:val="0"/>
            <w:vAlign w:val="center"/>
          </w:tcPr>
          <w:p>
            <w:pPr>
              <w:pStyle w:val="20"/>
              <w:pageBreakBefore w:val="0"/>
              <w:wordWrap/>
              <w:topLinePunct w:val="0"/>
              <w:bidi w:val="0"/>
              <w:spacing w:after="0" w:line="0" w:lineRule="atLeast"/>
              <w:ind w:left="0" w:leftChars="0" w:firstLine="0" w:firstLineChars="0"/>
              <w:jc w:val="center"/>
              <w:rPr>
                <w:rFonts w:hint="eastAsia" w:ascii="仿宋" w:hAnsi="仿宋" w:eastAsia="仿宋"/>
                <w:color w:val="000000"/>
                <w:sz w:val="24"/>
                <w:szCs w:val="20"/>
              </w:rPr>
            </w:pPr>
            <w:r>
              <w:rPr>
                <w:rFonts w:hint="eastAsia" w:ascii="仿宋" w:hAnsi="仿宋" w:eastAsia="仿宋"/>
                <w:b/>
                <w:color w:val="000000"/>
                <w:szCs w:val="21"/>
              </w:rPr>
              <w:t>内容</w:t>
            </w:r>
          </w:p>
        </w:tc>
        <w:tc>
          <w:tcPr>
            <w:tcW w:w="1590" w:type="dxa"/>
            <w:noWrap w:val="0"/>
            <w:vAlign w:val="center"/>
          </w:tcPr>
          <w:p>
            <w:pPr>
              <w:pStyle w:val="20"/>
              <w:pageBreakBefore w:val="0"/>
              <w:wordWrap/>
              <w:topLinePunct w:val="0"/>
              <w:bidi w:val="0"/>
              <w:spacing w:after="0" w:line="0" w:lineRule="atLeast"/>
              <w:ind w:left="0" w:leftChars="0" w:firstLine="0" w:firstLineChars="0"/>
              <w:jc w:val="center"/>
              <w:rPr>
                <w:rFonts w:hint="eastAsia" w:ascii="仿宋" w:hAnsi="仿宋" w:eastAsia="仿宋"/>
                <w:color w:val="000000"/>
                <w:sz w:val="24"/>
                <w:szCs w:val="20"/>
              </w:rPr>
            </w:pPr>
            <w:r>
              <w:rPr>
                <w:rFonts w:hint="eastAsia" w:ascii="仿宋" w:hAnsi="仿宋" w:eastAsia="仿宋"/>
                <w:b/>
                <w:color w:val="000000"/>
                <w:szCs w:val="21"/>
              </w:rPr>
              <w:t>评分内容</w:t>
            </w:r>
          </w:p>
        </w:tc>
        <w:tc>
          <w:tcPr>
            <w:tcW w:w="5065" w:type="dxa"/>
            <w:noWrap w:val="0"/>
            <w:vAlign w:val="center"/>
          </w:tcPr>
          <w:p>
            <w:pPr>
              <w:pStyle w:val="20"/>
              <w:pageBreakBefore w:val="0"/>
              <w:wordWrap/>
              <w:topLinePunct w:val="0"/>
              <w:bidi w:val="0"/>
              <w:spacing w:after="0" w:line="0" w:lineRule="atLeast"/>
              <w:ind w:left="0" w:leftChars="0" w:firstLine="0" w:firstLineChars="0"/>
              <w:jc w:val="center"/>
              <w:rPr>
                <w:rFonts w:hint="eastAsia" w:ascii="仿宋" w:hAnsi="仿宋" w:eastAsia="仿宋"/>
                <w:color w:val="000000"/>
                <w:sz w:val="24"/>
                <w:szCs w:val="20"/>
              </w:rPr>
            </w:pPr>
            <w:r>
              <w:rPr>
                <w:rFonts w:hint="eastAsia" w:ascii="仿宋" w:hAnsi="仿宋" w:eastAsia="仿宋"/>
                <w:b/>
                <w:color w:val="000000"/>
                <w:szCs w:val="21"/>
              </w:rPr>
              <w:t>评标标准</w:t>
            </w:r>
          </w:p>
        </w:tc>
        <w:tc>
          <w:tcPr>
            <w:tcW w:w="709" w:type="dxa"/>
            <w:noWrap w:val="0"/>
            <w:vAlign w:val="center"/>
          </w:tcPr>
          <w:p>
            <w:pPr>
              <w:pStyle w:val="20"/>
              <w:pageBreakBefore w:val="0"/>
              <w:wordWrap/>
              <w:topLinePunct w:val="0"/>
              <w:bidi w:val="0"/>
              <w:spacing w:after="0" w:line="0" w:lineRule="atLeast"/>
              <w:ind w:left="0" w:leftChars="0" w:firstLine="0" w:firstLineChars="0"/>
              <w:jc w:val="center"/>
              <w:rPr>
                <w:rFonts w:hint="eastAsia" w:ascii="仿宋" w:hAnsi="仿宋" w:eastAsia="仿宋"/>
                <w:b/>
                <w:color w:val="000000"/>
                <w:szCs w:val="21"/>
                <w:lang w:eastAsia="zh-CN"/>
              </w:rPr>
            </w:pPr>
            <w:r>
              <w:rPr>
                <w:rFonts w:hint="eastAsia" w:ascii="仿宋" w:hAnsi="仿宋" w:eastAsia="仿宋"/>
                <w:b/>
                <w:color w:val="000000"/>
                <w:szCs w:val="21"/>
                <w:lang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8" w:type="dxa"/>
            <w:vMerge w:val="restart"/>
            <w:noWrap w:val="0"/>
            <w:vAlign w:val="center"/>
          </w:tcPr>
          <w:p>
            <w:pPr>
              <w:adjustRightInd/>
              <w:spacing w:line="0" w:lineRule="atLeast"/>
              <w:jc w:val="center"/>
              <w:textAlignment w:val="auto"/>
              <w:rPr>
                <w:rFonts w:hint="eastAsia" w:ascii="宋体" w:hAnsi="宋体" w:cs="宋体"/>
                <w:sz w:val="21"/>
                <w:szCs w:val="21"/>
              </w:rPr>
            </w:pPr>
            <w:r>
              <w:rPr>
                <w:rFonts w:hint="eastAsia" w:ascii="仿宋_GB2312" w:hAnsi="宋体" w:eastAsia="仿宋_GB2312"/>
                <w:sz w:val="21"/>
                <w:szCs w:val="21"/>
              </w:rPr>
              <w:t>商务部分（30分）</w:t>
            </w:r>
          </w:p>
        </w:tc>
        <w:tc>
          <w:tcPr>
            <w:tcW w:w="1590" w:type="dxa"/>
            <w:noWrap w:val="0"/>
            <w:vAlign w:val="center"/>
          </w:tcPr>
          <w:p>
            <w:pPr>
              <w:widowControl/>
              <w:spacing w:line="300" w:lineRule="exact"/>
              <w:jc w:val="center"/>
              <w:rPr>
                <w:rFonts w:hint="eastAsia" w:ascii="仿宋" w:hAnsi="仿宋" w:eastAsia="仿宋"/>
                <w:b/>
                <w:bCs/>
                <w:color w:val="000000"/>
                <w:szCs w:val="22"/>
              </w:rPr>
            </w:pPr>
            <w:r>
              <w:rPr>
                <w:rFonts w:hint="eastAsia" w:ascii="宋体" w:hAnsi="宋体" w:cs="宋体"/>
                <w:sz w:val="21"/>
                <w:szCs w:val="21"/>
              </w:rPr>
              <w:t>供应商基本情况</w:t>
            </w:r>
            <w:r>
              <w:rPr>
                <w:rFonts w:hint="eastAsia" w:ascii="宋体" w:hAnsi="宋体" w:cs="宋体"/>
                <w:sz w:val="21"/>
                <w:szCs w:val="21"/>
              </w:rPr>
              <w:br w:type="textWrapping"/>
            </w:r>
            <w:r>
              <w:rPr>
                <w:rFonts w:hint="eastAsia" w:ascii="宋体" w:hAnsi="宋体" w:cs="宋体"/>
                <w:sz w:val="21"/>
                <w:szCs w:val="21"/>
              </w:rPr>
              <w:t>（5分）</w:t>
            </w:r>
          </w:p>
        </w:tc>
        <w:tc>
          <w:tcPr>
            <w:tcW w:w="5065" w:type="dxa"/>
            <w:noWrap w:val="0"/>
            <w:vAlign w:val="center"/>
          </w:tcPr>
          <w:p>
            <w:pPr>
              <w:widowControl/>
              <w:spacing w:line="300" w:lineRule="exact"/>
              <w:jc w:val="both"/>
              <w:rPr>
                <w:rFonts w:hint="eastAsia" w:ascii="仿宋" w:hAnsi="仿宋" w:eastAsia="仿宋"/>
                <w:color w:val="000000"/>
                <w:sz w:val="24"/>
                <w:szCs w:val="20"/>
              </w:rPr>
            </w:pPr>
            <w:r>
              <w:rPr>
                <w:rFonts w:hint="eastAsia" w:ascii="宋体" w:hAnsi="宋体" w:cs="宋体"/>
                <w:sz w:val="21"/>
                <w:szCs w:val="21"/>
              </w:rPr>
              <w:t>熟悉安宁疗护服务体系建设工作。（横向比较，最优得5分、一般得3分、较差得0分）</w:t>
            </w:r>
          </w:p>
        </w:tc>
        <w:tc>
          <w:tcPr>
            <w:tcW w:w="709" w:type="dxa"/>
            <w:noWrap w:val="0"/>
            <w:vAlign w:val="center"/>
          </w:tcPr>
          <w:p>
            <w:pPr>
              <w:pageBreakBefore w:val="0"/>
              <w:wordWrap/>
              <w:topLinePunct w:val="0"/>
              <w:bidi w:val="0"/>
              <w:spacing w:line="0" w:lineRule="atLeast"/>
              <w:jc w:val="center"/>
              <w:rPr>
                <w:rFonts w:hint="eastAsia" w:ascii="仿宋" w:hAnsi="仿宋" w:eastAsia="仿宋" w:cs="仿宋_GB2312"/>
                <w:color w:val="000000"/>
                <w:szCs w:val="21"/>
                <w:lang w:val="en-US" w:eastAsia="zh-CN"/>
              </w:rPr>
            </w:pPr>
            <w:r>
              <w:rPr>
                <w:rFonts w:hint="eastAsia" w:ascii="仿宋" w:hAnsi="仿宋" w:eastAsia="仿宋" w:cs="仿宋_GB2312"/>
                <w:color w:val="000000"/>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1108" w:type="dxa"/>
            <w:vMerge w:val="continue"/>
            <w:noWrap w:val="0"/>
            <w:vAlign w:val="top"/>
          </w:tcPr>
          <w:p>
            <w:pPr>
              <w:adjustRightInd/>
              <w:spacing w:line="0" w:lineRule="atLeast"/>
              <w:jc w:val="both"/>
              <w:textAlignment w:val="auto"/>
              <w:rPr>
                <w:rFonts w:hint="eastAsia" w:ascii="宋体" w:hAnsi="宋体" w:cs="宋体"/>
                <w:sz w:val="21"/>
                <w:szCs w:val="21"/>
              </w:rPr>
            </w:pPr>
          </w:p>
        </w:tc>
        <w:tc>
          <w:tcPr>
            <w:tcW w:w="1590" w:type="dxa"/>
            <w:noWrap w:val="0"/>
            <w:vAlign w:val="center"/>
          </w:tcPr>
          <w:p>
            <w:pPr>
              <w:widowControl/>
              <w:spacing w:line="300" w:lineRule="exact"/>
              <w:jc w:val="center"/>
              <w:rPr>
                <w:rFonts w:hint="eastAsia" w:ascii="仿宋" w:hAnsi="仿宋" w:eastAsia="仿宋"/>
                <w:b/>
                <w:bCs/>
                <w:color w:val="000000"/>
                <w:szCs w:val="22"/>
              </w:rPr>
            </w:pPr>
            <w:r>
              <w:rPr>
                <w:rFonts w:hint="eastAsia" w:ascii="宋体" w:hAnsi="宋体" w:cs="宋体"/>
                <w:sz w:val="21"/>
                <w:szCs w:val="21"/>
              </w:rPr>
              <w:t>供应商的管理经验</w:t>
            </w:r>
            <w:r>
              <w:rPr>
                <w:rFonts w:hint="eastAsia" w:ascii="宋体" w:hAnsi="宋体" w:cs="宋体"/>
                <w:sz w:val="21"/>
                <w:szCs w:val="21"/>
              </w:rPr>
              <w:br w:type="textWrapping"/>
            </w:r>
            <w:r>
              <w:rPr>
                <w:rFonts w:hint="eastAsia" w:ascii="宋体" w:hAnsi="宋体" w:cs="宋体"/>
                <w:sz w:val="21"/>
                <w:szCs w:val="21"/>
              </w:rPr>
              <w:t>（15分）</w:t>
            </w:r>
          </w:p>
        </w:tc>
        <w:tc>
          <w:tcPr>
            <w:tcW w:w="5065" w:type="dxa"/>
            <w:noWrap w:val="0"/>
            <w:vAlign w:val="center"/>
          </w:tcPr>
          <w:p>
            <w:pPr>
              <w:widowControl/>
              <w:spacing w:line="300" w:lineRule="exact"/>
              <w:jc w:val="both"/>
              <w:rPr>
                <w:rFonts w:hint="eastAsia" w:ascii="仿宋" w:hAnsi="仿宋" w:eastAsia="仿宋"/>
                <w:color w:val="000000"/>
                <w:szCs w:val="21"/>
              </w:rPr>
            </w:pPr>
            <w:r>
              <w:rPr>
                <w:rFonts w:hint="eastAsia" w:ascii="宋体" w:hAnsi="宋体" w:cs="宋体"/>
                <w:sz w:val="21"/>
                <w:szCs w:val="21"/>
              </w:rPr>
              <w:t>供应商近3年来从事安宁疗护服务体系建设工作。每提供1份业绩得3分，最多15分（业绩需符合本次遴选项目内容）。</w:t>
            </w:r>
          </w:p>
        </w:tc>
        <w:tc>
          <w:tcPr>
            <w:tcW w:w="709" w:type="dxa"/>
            <w:noWrap w:val="0"/>
            <w:vAlign w:val="center"/>
          </w:tcPr>
          <w:p>
            <w:pPr>
              <w:pageBreakBefore w:val="0"/>
              <w:wordWrap/>
              <w:topLinePunct w:val="0"/>
              <w:bidi w:val="0"/>
              <w:spacing w:line="0" w:lineRule="atLeast"/>
              <w:jc w:val="cente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dxa"/>
            <w:vMerge w:val="continue"/>
            <w:noWrap w:val="0"/>
            <w:vAlign w:val="top"/>
          </w:tcPr>
          <w:p>
            <w:pPr>
              <w:adjustRightInd/>
              <w:spacing w:line="0" w:lineRule="atLeast"/>
              <w:jc w:val="both"/>
              <w:textAlignment w:val="auto"/>
              <w:rPr>
                <w:rFonts w:hint="eastAsia" w:ascii="宋体" w:hAnsi="宋体" w:cs="宋体"/>
                <w:sz w:val="21"/>
                <w:szCs w:val="21"/>
              </w:rPr>
            </w:pPr>
          </w:p>
        </w:tc>
        <w:tc>
          <w:tcPr>
            <w:tcW w:w="1590" w:type="dxa"/>
            <w:noWrap w:val="0"/>
            <w:vAlign w:val="center"/>
          </w:tcPr>
          <w:p>
            <w:pPr>
              <w:widowControl/>
              <w:spacing w:line="300" w:lineRule="exact"/>
              <w:jc w:val="center"/>
              <w:rPr>
                <w:rFonts w:hint="eastAsia" w:ascii="仿宋" w:hAnsi="仿宋" w:eastAsia="仿宋"/>
                <w:b/>
                <w:bCs/>
                <w:color w:val="000000"/>
                <w:szCs w:val="22"/>
              </w:rPr>
            </w:pPr>
            <w:r>
              <w:rPr>
                <w:rFonts w:hint="eastAsia" w:ascii="宋体" w:hAnsi="宋体" w:cs="宋体"/>
                <w:sz w:val="21"/>
                <w:szCs w:val="21"/>
              </w:rPr>
              <w:t>项目人员配备</w:t>
            </w:r>
            <w:r>
              <w:rPr>
                <w:rFonts w:hint="eastAsia" w:ascii="宋体" w:hAnsi="宋体" w:cs="宋体"/>
                <w:sz w:val="21"/>
                <w:szCs w:val="21"/>
              </w:rPr>
              <w:br w:type="textWrapping"/>
            </w:r>
            <w:r>
              <w:rPr>
                <w:rFonts w:hint="eastAsia" w:ascii="宋体" w:hAnsi="宋体" w:cs="宋体"/>
                <w:sz w:val="21"/>
                <w:szCs w:val="21"/>
              </w:rPr>
              <w:t>（10分）</w:t>
            </w:r>
          </w:p>
        </w:tc>
        <w:tc>
          <w:tcPr>
            <w:tcW w:w="5065" w:type="dxa"/>
            <w:noWrap w:val="0"/>
            <w:vAlign w:val="center"/>
          </w:tcPr>
          <w:p>
            <w:pPr>
              <w:spacing w:line="300" w:lineRule="exact"/>
              <w:jc w:val="both"/>
              <w:rPr>
                <w:rFonts w:hint="eastAsia" w:ascii="仿宋" w:hAnsi="仿宋" w:eastAsia="仿宋" w:cs="仿宋_GB2312"/>
                <w:color w:val="000000"/>
                <w:kern w:val="0"/>
                <w:szCs w:val="21"/>
              </w:rPr>
            </w:pPr>
            <w:r>
              <w:rPr>
                <w:rFonts w:hint="eastAsia" w:ascii="宋体" w:hAnsi="宋体" w:cs="宋体"/>
                <w:sz w:val="21"/>
                <w:szCs w:val="21"/>
              </w:rPr>
              <w:t>拟投入本项目负责人应具有2年以上安宁疗护项目管理经验（2分），2019-2021年承担过安宁疗护相关工作（2分）。符合要求得2分，不符合得0分；承担过安宁疗</w:t>
            </w:r>
            <w:bookmarkStart w:id="0" w:name="_GoBack"/>
            <w:bookmarkEnd w:id="0"/>
            <w:r>
              <w:rPr>
                <w:rFonts w:hint="eastAsia" w:ascii="宋体" w:hAnsi="宋体" w:cs="宋体"/>
                <w:sz w:val="21"/>
                <w:szCs w:val="21"/>
              </w:rPr>
              <w:t>护服务体系建设相关工作得2分（需提供参与该项目的相关证明材料）,未承担过得0分。</w:t>
            </w:r>
          </w:p>
        </w:tc>
        <w:tc>
          <w:tcPr>
            <w:tcW w:w="709" w:type="dxa"/>
            <w:noWrap w:val="0"/>
            <w:vAlign w:val="center"/>
          </w:tcPr>
          <w:p>
            <w:pPr>
              <w:pageBreakBefore w:val="0"/>
              <w:wordWrap/>
              <w:topLinePunct w:val="0"/>
              <w:bidi w:val="0"/>
              <w:spacing w:line="0" w:lineRule="atLeast"/>
              <w:jc w:val="center"/>
              <w:rPr>
                <w:rFonts w:hint="eastAsia" w:ascii="仿宋" w:hAnsi="仿宋" w:eastAsia="仿宋" w:cs="仿宋_GB2312"/>
                <w:color w:val="000000"/>
                <w:kern w:val="0"/>
                <w:szCs w:val="21"/>
                <w:lang w:val="en-US" w:eastAsia="zh-CN"/>
              </w:rPr>
            </w:pPr>
            <w:r>
              <w:rPr>
                <w:rFonts w:hint="eastAsia" w:ascii="仿宋" w:hAnsi="仿宋" w:eastAsia="仿宋" w:cs="仿宋_GB2312"/>
                <w:color w:val="000000"/>
                <w:kern w:val="0"/>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dxa"/>
            <w:vMerge w:val="continue"/>
            <w:noWrap w:val="0"/>
            <w:vAlign w:val="top"/>
          </w:tcPr>
          <w:p>
            <w:pPr>
              <w:adjustRightInd/>
              <w:spacing w:line="0" w:lineRule="atLeast"/>
              <w:jc w:val="both"/>
              <w:textAlignment w:val="auto"/>
              <w:rPr>
                <w:rFonts w:hint="eastAsia" w:ascii="宋体" w:hAnsi="宋体" w:cs="宋体"/>
                <w:sz w:val="21"/>
                <w:szCs w:val="21"/>
              </w:rPr>
            </w:pPr>
          </w:p>
        </w:tc>
        <w:tc>
          <w:tcPr>
            <w:tcW w:w="1590" w:type="dxa"/>
            <w:noWrap w:val="0"/>
            <w:vAlign w:val="center"/>
          </w:tcPr>
          <w:p>
            <w:pPr>
              <w:widowControl/>
              <w:spacing w:line="300" w:lineRule="exact"/>
              <w:jc w:val="center"/>
              <w:rPr>
                <w:rFonts w:hint="eastAsia" w:ascii="仿宋" w:hAnsi="仿宋" w:eastAsia="仿宋"/>
                <w:b/>
                <w:bCs/>
                <w:color w:val="000000"/>
                <w:szCs w:val="22"/>
              </w:rPr>
            </w:pPr>
          </w:p>
        </w:tc>
        <w:tc>
          <w:tcPr>
            <w:tcW w:w="5065" w:type="dxa"/>
            <w:noWrap w:val="0"/>
            <w:vAlign w:val="center"/>
          </w:tcPr>
          <w:p>
            <w:pPr>
              <w:spacing w:line="300" w:lineRule="exact"/>
              <w:jc w:val="both"/>
              <w:rPr>
                <w:rFonts w:hint="eastAsia" w:ascii="仿宋" w:hAnsi="仿宋" w:eastAsia="仿宋" w:cs="仿宋_GB2312"/>
                <w:color w:val="000000"/>
                <w:szCs w:val="21"/>
              </w:rPr>
            </w:pPr>
            <w:r>
              <w:rPr>
                <w:rFonts w:hint="eastAsia" w:ascii="宋体" w:hAnsi="宋体" w:cs="宋体"/>
                <w:sz w:val="21"/>
                <w:szCs w:val="21"/>
              </w:rPr>
              <w:t>拟投入本项目团队主要成员情况及参与过相关项目的资料，需提供人员名册，必须保证后续参与该项工作。（横向比较，最优得6分、较好得4分、一般得2分、较差得0分）</w:t>
            </w:r>
          </w:p>
        </w:tc>
        <w:tc>
          <w:tcPr>
            <w:tcW w:w="709" w:type="dxa"/>
            <w:noWrap w:val="0"/>
            <w:vAlign w:val="center"/>
          </w:tcPr>
          <w:p>
            <w:pPr>
              <w:pageBreakBefore w:val="0"/>
              <w:wordWrap/>
              <w:topLinePunct w:val="0"/>
              <w:bidi w:val="0"/>
              <w:spacing w:line="0" w:lineRule="atLeast"/>
              <w:jc w:val="center"/>
              <w:rPr>
                <w:rFonts w:hint="eastAsia" w:ascii="仿宋" w:hAnsi="仿宋" w:eastAsia="仿宋" w:cs="仿宋_GB2312"/>
                <w:color w:val="000000"/>
                <w:szCs w:val="21"/>
                <w:lang w:val="en-US" w:eastAsia="zh-CN"/>
              </w:rPr>
            </w:pPr>
            <w:r>
              <w:rPr>
                <w:rFonts w:hint="eastAsia" w:ascii="仿宋" w:hAnsi="仿宋" w:eastAsia="仿宋" w:cs="仿宋_GB2312"/>
                <w:color w:val="000000"/>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dxa"/>
            <w:vMerge w:val="restart"/>
            <w:noWrap w:val="0"/>
            <w:vAlign w:val="center"/>
          </w:tcPr>
          <w:p>
            <w:pPr>
              <w:adjustRightInd/>
              <w:spacing w:line="0" w:lineRule="atLeast"/>
              <w:jc w:val="center"/>
              <w:textAlignment w:val="auto"/>
              <w:rPr>
                <w:rFonts w:hint="eastAsia" w:ascii="宋体" w:hAnsi="宋体" w:cs="宋体"/>
                <w:sz w:val="21"/>
                <w:szCs w:val="21"/>
              </w:rPr>
            </w:pPr>
            <w:r>
              <w:rPr>
                <w:rFonts w:hint="eastAsia" w:ascii="宋体" w:hAnsi="宋体" w:cs="宋体"/>
                <w:color w:val="000000"/>
                <w:sz w:val="21"/>
                <w:szCs w:val="21"/>
              </w:rPr>
              <w:t>技术部分（60分）</w:t>
            </w:r>
          </w:p>
        </w:tc>
        <w:tc>
          <w:tcPr>
            <w:tcW w:w="1590" w:type="dxa"/>
            <w:noWrap w:val="0"/>
            <w:vAlign w:val="center"/>
          </w:tcPr>
          <w:p>
            <w:pPr>
              <w:widowControl/>
              <w:spacing w:line="300" w:lineRule="exact"/>
              <w:jc w:val="center"/>
              <w:rPr>
                <w:rFonts w:hint="eastAsia" w:ascii="仿宋" w:hAnsi="仿宋" w:eastAsia="仿宋"/>
                <w:b/>
                <w:bCs/>
                <w:color w:val="000000"/>
                <w:szCs w:val="22"/>
              </w:rPr>
            </w:pPr>
            <w:r>
              <w:rPr>
                <w:rFonts w:hint="eastAsia" w:ascii="宋体" w:hAnsi="宋体" w:cs="宋体"/>
                <w:sz w:val="21"/>
                <w:szCs w:val="21"/>
              </w:rPr>
              <w:t>推进方案内容与工作方法（35分）</w:t>
            </w:r>
          </w:p>
        </w:tc>
        <w:tc>
          <w:tcPr>
            <w:tcW w:w="5065" w:type="dxa"/>
            <w:noWrap w:val="0"/>
            <w:vAlign w:val="center"/>
          </w:tcPr>
          <w:p>
            <w:pPr>
              <w:widowControl/>
              <w:spacing w:line="300" w:lineRule="exact"/>
              <w:jc w:val="both"/>
              <w:rPr>
                <w:rFonts w:hint="eastAsia" w:ascii="仿宋" w:hAnsi="仿宋" w:eastAsia="仿宋" w:cs="仿宋_GB2312"/>
                <w:color w:val="000000"/>
                <w:szCs w:val="21"/>
              </w:rPr>
            </w:pPr>
            <w:r>
              <w:rPr>
                <w:rFonts w:hint="eastAsia" w:ascii="宋体" w:hAnsi="宋体" w:cs="宋体"/>
                <w:sz w:val="21"/>
                <w:szCs w:val="21"/>
              </w:rPr>
              <w:t>项目推进的工作进度和工作流程编制思路清晰、目标明确、条理严谨，符合遴选工作任务要求，预期成果完备。优秀的，得35分；良好的，得20分；一般的，得10分；较差的，得0分。</w:t>
            </w:r>
          </w:p>
        </w:tc>
        <w:tc>
          <w:tcPr>
            <w:tcW w:w="709" w:type="dxa"/>
            <w:noWrap w:val="0"/>
            <w:vAlign w:val="center"/>
          </w:tcPr>
          <w:p>
            <w:pPr>
              <w:pageBreakBefore w:val="0"/>
              <w:wordWrap/>
              <w:topLinePunct w:val="0"/>
              <w:bidi w:val="0"/>
              <w:spacing w:line="0" w:lineRule="atLeast"/>
              <w:jc w:val="cente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1108" w:type="dxa"/>
            <w:vMerge w:val="continue"/>
            <w:noWrap w:val="0"/>
            <w:vAlign w:val="top"/>
          </w:tcPr>
          <w:p>
            <w:pPr>
              <w:adjustRightInd/>
              <w:spacing w:line="0" w:lineRule="atLeast"/>
              <w:jc w:val="both"/>
              <w:textAlignment w:val="auto"/>
              <w:rPr>
                <w:rFonts w:hint="eastAsia" w:ascii="仿宋" w:hAnsi="仿宋" w:eastAsia="仿宋"/>
                <w:b/>
                <w:bCs/>
                <w:color w:val="000000"/>
                <w:szCs w:val="22"/>
              </w:rPr>
            </w:pPr>
          </w:p>
        </w:tc>
        <w:tc>
          <w:tcPr>
            <w:tcW w:w="1590" w:type="dxa"/>
            <w:noWrap w:val="0"/>
            <w:vAlign w:val="center"/>
          </w:tcPr>
          <w:p>
            <w:pPr>
              <w:widowControl/>
              <w:spacing w:line="300" w:lineRule="exact"/>
              <w:jc w:val="center"/>
              <w:rPr>
                <w:rFonts w:hint="eastAsia" w:ascii="宋体" w:hAnsi="宋体" w:cs="宋体"/>
                <w:sz w:val="21"/>
                <w:szCs w:val="21"/>
              </w:rPr>
            </w:pPr>
            <w:r>
              <w:rPr>
                <w:rFonts w:hint="eastAsia" w:ascii="宋体" w:hAnsi="宋体" w:cs="宋体"/>
                <w:sz w:val="21"/>
                <w:szCs w:val="21"/>
              </w:rPr>
              <w:t>质量保证措施</w:t>
            </w:r>
          </w:p>
          <w:p>
            <w:pPr>
              <w:widowControl/>
              <w:spacing w:line="300" w:lineRule="exact"/>
              <w:jc w:val="center"/>
              <w:rPr>
                <w:rFonts w:hint="eastAsia" w:ascii="仿宋" w:hAnsi="仿宋" w:eastAsia="仿宋"/>
                <w:b/>
                <w:bCs/>
                <w:color w:val="000000"/>
                <w:szCs w:val="22"/>
              </w:rPr>
            </w:pPr>
            <w:r>
              <w:rPr>
                <w:rFonts w:hint="eastAsia" w:ascii="宋体" w:hAnsi="宋体" w:cs="宋体"/>
                <w:sz w:val="21"/>
                <w:szCs w:val="21"/>
              </w:rPr>
              <w:t>（15分）</w:t>
            </w:r>
          </w:p>
        </w:tc>
        <w:tc>
          <w:tcPr>
            <w:tcW w:w="5065" w:type="dxa"/>
            <w:noWrap w:val="0"/>
            <w:vAlign w:val="center"/>
          </w:tcPr>
          <w:p>
            <w:pPr>
              <w:widowControl/>
              <w:spacing w:line="300" w:lineRule="exact"/>
              <w:jc w:val="both"/>
              <w:rPr>
                <w:rFonts w:hint="eastAsia" w:ascii="仿宋" w:hAnsi="仿宋" w:eastAsia="仿宋"/>
                <w:color w:val="000000"/>
                <w:szCs w:val="21"/>
              </w:rPr>
            </w:pPr>
            <w:r>
              <w:rPr>
                <w:rFonts w:hint="eastAsia" w:ascii="宋体" w:hAnsi="宋体" w:cs="宋体"/>
                <w:sz w:val="21"/>
                <w:szCs w:val="21"/>
              </w:rPr>
              <w:t>供应商质量管理体系健全，技术支持有保障，人员安排合理，能够在服务期内高质量完成合同要求。优秀的，得15分；良好的，得10分；一般的，得5分；较差的，得0分（需提供2021年内的相关项目的合同或批准文件）。</w:t>
            </w:r>
          </w:p>
        </w:tc>
        <w:tc>
          <w:tcPr>
            <w:tcW w:w="709" w:type="dxa"/>
            <w:noWrap w:val="0"/>
            <w:vAlign w:val="center"/>
          </w:tcPr>
          <w:p>
            <w:pPr>
              <w:pageBreakBefore w:val="0"/>
              <w:wordWrap/>
              <w:topLinePunct w:val="0"/>
              <w:bidi w:val="0"/>
              <w:spacing w:line="0" w:lineRule="atLeast"/>
              <w:jc w:val="cente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dxa"/>
            <w:vMerge w:val="continue"/>
            <w:noWrap w:val="0"/>
            <w:vAlign w:val="top"/>
          </w:tcPr>
          <w:p>
            <w:pPr>
              <w:adjustRightInd/>
              <w:spacing w:line="0" w:lineRule="atLeast"/>
              <w:jc w:val="both"/>
              <w:textAlignment w:val="auto"/>
              <w:rPr>
                <w:rFonts w:hint="eastAsia" w:ascii="仿宋" w:hAnsi="仿宋" w:eastAsia="仿宋"/>
                <w:b/>
                <w:bCs/>
                <w:color w:val="000000"/>
                <w:szCs w:val="22"/>
              </w:rPr>
            </w:pPr>
          </w:p>
        </w:tc>
        <w:tc>
          <w:tcPr>
            <w:tcW w:w="1590" w:type="dxa"/>
            <w:noWrap w:val="0"/>
            <w:vAlign w:val="center"/>
          </w:tcPr>
          <w:p>
            <w:pPr>
              <w:widowControl/>
              <w:spacing w:line="300" w:lineRule="exact"/>
              <w:jc w:val="center"/>
              <w:rPr>
                <w:rFonts w:hint="eastAsia" w:ascii="仿宋" w:hAnsi="仿宋" w:eastAsia="仿宋"/>
                <w:b/>
                <w:bCs/>
                <w:color w:val="000000"/>
                <w:szCs w:val="22"/>
              </w:rPr>
            </w:pPr>
            <w:r>
              <w:rPr>
                <w:rFonts w:hint="eastAsia" w:ascii="宋体" w:hAnsi="宋体" w:cs="宋体"/>
                <w:sz w:val="21"/>
                <w:szCs w:val="21"/>
              </w:rPr>
              <w:t>服务承诺（10分）</w:t>
            </w:r>
          </w:p>
        </w:tc>
        <w:tc>
          <w:tcPr>
            <w:tcW w:w="5065" w:type="dxa"/>
            <w:noWrap w:val="0"/>
            <w:vAlign w:val="center"/>
          </w:tcPr>
          <w:p>
            <w:pPr>
              <w:widowControl/>
              <w:spacing w:line="300" w:lineRule="exact"/>
              <w:jc w:val="both"/>
              <w:rPr>
                <w:rFonts w:hint="eastAsia" w:ascii="仿宋" w:hAnsi="仿宋" w:eastAsia="仿宋"/>
                <w:color w:val="000000"/>
                <w:sz w:val="24"/>
                <w:szCs w:val="20"/>
              </w:rPr>
            </w:pPr>
            <w:r>
              <w:rPr>
                <w:rFonts w:hint="eastAsia" w:ascii="宋体" w:hAnsi="宋体" w:cs="宋体"/>
                <w:sz w:val="21"/>
                <w:szCs w:val="21"/>
              </w:rPr>
              <w:t>供应商须提供沟通机制，内容包括①服务人员安排②沟通方案，要求有专人定期沟通，配合。优秀的，得10分；良好的，得7分；一般的，得4分；较差的，得0分。</w:t>
            </w:r>
          </w:p>
        </w:tc>
        <w:tc>
          <w:tcPr>
            <w:tcW w:w="709" w:type="dxa"/>
            <w:noWrap w:val="0"/>
            <w:vAlign w:val="center"/>
          </w:tcPr>
          <w:p>
            <w:pPr>
              <w:pStyle w:val="20"/>
              <w:pageBreakBefore w:val="0"/>
              <w:wordWrap/>
              <w:topLinePunct w:val="0"/>
              <w:bidi w:val="0"/>
              <w:spacing w:after="0" w:line="0" w:lineRule="atLeast"/>
              <w:ind w:left="0" w:leftChars="0" w:firstLine="0" w:firstLineChars="0"/>
              <w:jc w:val="center"/>
              <w:rPr>
                <w:rFonts w:hint="eastAsia" w:ascii="仿宋" w:hAnsi="仿宋" w:eastAsia="仿宋" w:cs="仿宋_GB2312"/>
                <w:color w:val="000000"/>
                <w:szCs w:val="21"/>
                <w:lang w:val="en-US" w:eastAsia="zh-CN"/>
              </w:rPr>
            </w:pPr>
            <w:r>
              <w:rPr>
                <w:rFonts w:hint="eastAsia" w:ascii="仿宋" w:hAnsi="仿宋" w:eastAsia="仿宋" w:cs="仿宋_GB2312"/>
                <w:color w:val="000000"/>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dxa"/>
            <w:noWrap w:val="0"/>
            <w:vAlign w:val="center"/>
          </w:tcPr>
          <w:p>
            <w:pPr>
              <w:widowControl/>
              <w:spacing w:line="300" w:lineRule="exact"/>
              <w:jc w:val="center"/>
              <w:rPr>
                <w:rFonts w:hint="eastAsia" w:ascii="宋体" w:hAnsi="宋体" w:cs="宋体"/>
                <w:sz w:val="21"/>
                <w:szCs w:val="21"/>
              </w:rPr>
            </w:pPr>
            <w:r>
              <w:rPr>
                <w:rFonts w:hint="eastAsia" w:ascii="宋体" w:hAnsi="宋体" w:cs="宋体"/>
                <w:sz w:val="21"/>
                <w:szCs w:val="21"/>
              </w:rPr>
              <w:t>投标报价（</w:t>
            </w:r>
            <w:r>
              <w:rPr>
                <w:rFonts w:ascii="宋体" w:hAnsi="宋体" w:cs="Arial"/>
                <w:sz w:val="21"/>
                <w:szCs w:val="21"/>
              </w:rPr>
              <w:t>10</w:t>
            </w:r>
            <w:r>
              <w:rPr>
                <w:rFonts w:hint="eastAsia" w:ascii="宋体" w:hAnsi="宋体" w:cs="宋体"/>
                <w:sz w:val="21"/>
                <w:szCs w:val="21"/>
              </w:rPr>
              <w:t>分）</w:t>
            </w:r>
          </w:p>
        </w:tc>
        <w:tc>
          <w:tcPr>
            <w:tcW w:w="6655" w:type="dxa"/>
            <w:gridSpan w:val="2"/>
            <w:noWrap w:val="0"/>
            <w:vAlign w:val="center"/>
          </w:tcPr>
          <w:p>
            <w:pPr>
              <w:adjustRightInd/>
              <w:spacing w:line="0" w:lineRule="atLeast"/>
              <w:jc w:val="both"/>
              <w:textAlignment w:val="auto"/>
              <w:rPr>
                <w:rFonts w:hint="eastAsia" w:ascii="仿宋" w:hAnsi="仿宋" w:eastAsia="仿宋" w:cs="仿宋_GB2312"/>
                <w:color w:val="000000"/>
                <w:szCs w:val="21"/>
              </w:rPr>
            </w:pPr>
            <w:r>
              <w:rPr>
                <w:rFonts w:hint="eastAsia" w:ascii="宋体" w:hAnsi="宋体"/>
                <w:sz w:val="21"/>
                <w:szCs w:val="21"/>
              </w:rPr>
              <w:t>报价得分=（评标基准价/报价）×价格权值×100</w:t>
            </w:r>
          </w:p>
        </w:tc>
        <w:tc>
          <w:tcPr>
            <w:tcW w:w="709" w:type="dxa"/>
            <w:noWrap w:val="0"/>
            <w:vAlign w:val="center"/>
          </w:tcPr>
          <w:p>
            <w:pPr>
              <w:pageBreakBefore w:val="0"/>
              <w:wordWrap/>
              <w:topLinePunct w:val="0"/>
              <w:bidi w:val="0"/>
              <w:spacing w:line="0" w:lineRule="atLeast"/>
              <w:jc w:val="center"/>
              <w:rPr>
                <w:rFonts w:hint="eastAsia" w:ascii="仿宋" w:hAnsi="仿宋" w:eastAsia="仿宋"/>
                <w:color w:val="000000"/>
                <w:lang w:val="en-US" w:eastAsia="zh-CN"/>
              </w:rPr>
            </w:pPr>
            <w:r>
              <w:rPr>
                <w:rFonts w:hint="eastAsia" w:ascii="仿宋" w:hAnsi="仿宋" w:eastAsia="仿宋"/>
                <w:color w:val="000000"/>
                <w:lang w:val="en-US" w:eastAsia="zh-CN"/>
              </w:rPr>
              <w:t>10</w:t>
            </w:r>
          </w:p>
        </w:tc>
      </w:tr>
    </w:tbl>
    <w:p>
      <w:pPr>
        <w:pageBreakBefore w:val="0"/>
        <w:wordWrap/>
        <w:topLinePunct w:val="0"/>
        <w:bidi w:val="0"/>
        <w:spacing w:line="0" w:lineRule="atLeast"/>
        <w:rPr>
          <w:rFonts w:hint="eastAsia" w:ascii="仿宋" w:hAnsi="仿宋" w:eastAsia="仿宋" w:cs="宋体"/>
          <w:szCs w:val="21"/>
        </w:rPr>
      </w:pPr>
    </w:p>
    <w:p>
      <w:pPr>
        <w:pageBreakBefore w:val="0"/>
        <w:wordWrap/>
        <w:topLinePunct w:val="0"/>
        <w:bidi w:val="0"/>
        <w:spacing w:line="0" w:lineRule="atLeast"/>
      </w:pPr>
    </w:p>
    <w:p>
      <w:pPr>
        <w:pageBreakBefore w:val="0"/>
        <w:wordWrap/>
        <w:topLinePunct w:val="0"/>
        <w:bidi w:val="0"/>
        <w:spacing w:line="0" w:lineRule="atLeast"/>
      </w:pPr>
    </w:p>
    <w:p>
      <w:pPr>
        <w:pageBreakBefore w:val="0"/>
        <w:wordWrap/>
        <w:topLinePunct w:val="0"/>
        <w:bidi w:val="0"/>
        <w:spacing w:line="0" w:lineRule="atLeast"/>
        <w:rPr>
          <w:rFonts w:hint="eastAsia"/>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bCs/>
          <w:i w:val="0"/>
          <w:iCs w:val="0"/>
          <w:caps w:val="0"/>
          <w:color w:val="555555"/>
          <w:spacing w:val="0"/>
          <w:sz w:val="24"/>
          <w:szCs w:val="24"/>
          <w:lang w:val="en-US" w:eastAsia="zh-CN"/>
        </w:rPr>
      </w:pPr>
    </w:p>
    <w:sectPr>
      <w:headerReference r:id="rId5" w:type="default"/>
      <w:footerReference r:id="rId6" w:type="default"/>
      <w:footerReference r:id="rId7" w:type="even"/>
      <w:pgSz w:w="11906" w:h="16838"/>
      <w:pgMar w:top="2098" w:right="1474" w:bottom="1985" w:left="1588" w:header="851" w:footer="1588" w:gutter="0"/>
      <w:pgBorders>
        <w:top w:val="none" w:sz="0" w:space="0"/>
        <w:left w:val="none" w:sz="0" w:space="0"/>
        <w:bottom w:val="none" w:sz="0" w:space="0"/>
        <w:right w:val="none" w:sz="0" w:space="0"/>
      </w:pgBorders>
      <w:cols w:space="720" w:num="1"/>
      <w:docGrid w:type="lines" w:linePitch="2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00"/>
    <w:family w:val="auto"/>
    <w:pitch w:val="default"/>
    <w:sig w:usb0="00000000" w:usb1="00000000" w:usb2="00000010" w:usb3="00000000" w:csb0="0004009F"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宋体-18030">
    <w:altName w:val="微软雅黑"/>
    <w:panose1 w:val="02010609060101010101"/>
    <w:charset w:val="00"/>
    <w:family w:val="modern"/>
    <w:pitch w:val="default"/>
    <w:sig w:usb0="00000000" w:usb1="00000000" w:usb2="000A005E"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Dotum">
    <w:altName w:val="Malgun Gothic"/>
    <w:panose1 w:val="020B0600000101010101"/>
    <w:charset w:val="81"/>
    <w:family w:val="swiss"/>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outside" w:y="1"/>
      <w:ind w:left="210" w:leftChars="100"/>
      <w:rPr>
        <w:rStyle w:val="25"/>
        <w:rFonts w:ascii="宋体" w:hAnsi="宋体"/>
        <w:sz w:val="28"/>
        <w:szCs w:val="28"/>
      </w:rPr>
    </w:pPr>
    <w:r>
      <w:rPr>
        <w:rStyle w:val="25"/>
        <w:rFonts w:hint="eastAsia" w:ascii="宋体" w:hAnsi="宋体"/>
        <w:sz w:val="28"/>
        <w:szCs w:val="28"/>
      </w:rPr>
      <w:t xml:space="preserve">－ </w:t>
    </w:r>
    <w:r>
      <w:rPr>
        <w:rStyle w:val="25"/>
        <w:rFonts w:ascii="宋体" w:hAnsi="宋体"/>
        <w:sz w:val="28"/>
        <w:szCs w:val="28"/>
      </w:rPr>
      <w:fldChar w:fldCharType="begin"/>
    </w:r>
    <w:r>
      <w:rPr>
        <w:rStyle w:val="25"/>
        <w:rFonts w:ascii="宋体" w:hAnsi="宋体"/>
        <w:sz w:val="28"/>
        <w:szCs w:val="28"/>
      </w:rPr>
      <w:instrText xml:space="preserve">PAGE  </w:instrText>
    </w:r>
    <w:r>
      <w:rPr>
        <w:rStyle w:val="25"/>
        <w:rFonts w:ascii="宋体" w:hAnsi="宋体"/>
        <w:sz w:val="28"/>
        <w:szCs w:val="28"/>
      </w:rPr>
      <w:fldChar w:fldCharType="separate"/>
    </w:r>
    <w:r>
      <w:rPr>
        <w:rStyle w:val="25"/>
        <w:rFonts w:ascii="宋体" w:hAnsi="宋体"/>
        <w:sz w:val="28"/>
        <w:szCs w:val="28"/>
      </w:rPr>
      <w:t>4</w:t>
    </w:r>
    <w:r>
      <w:rPr>
        <w:rStyle w:val="25"/>
        <w:rFonts w:ascii="宋体" w:hAnsi="宋体"/>
        <w:sz w:val="28"/>
        <w:szCs w:val="28"/>
      </w:rPr>
      <w:fldChar w:fldCharType="end"/>
    </w:r>
    <w:r>
      <w:rPr>
        <w:rStyle w:val="25"/>
        <w:rFonts w:hint="eastAsia" w:ascii="宋体" w:hAnsi="宋体"/>
        <w:sz w:val="28"/>
        <w:szCs w:val="28"/>
      </w:rPr>
      <w:t xml:space="preserve"> －</w:t>
    </w:r>
  </w:p>
  <w:p>
    <w:pPr>
      <w:pStyle w:val="12"/>
      <w:ind w:right="360" w:firstLine="360"/>
      <w:rPr>
        <w:rFonts w:ascii="宋体" w:hAnsi="宋体"/>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pStyle w:val="3"/>
      <w:suff w:val="nothing"/>
      <w:lvlText w:val="第%1部分"/>
      <w:lvlJc w:val="center"/>
      <w:pPr>
        <w:ind w:left="-288" w:firstLine="288"/>
      </w:pPr>
      <w:rPr>
        <w:rFonts w:hint="eastAsia" w:ascii="宋体" w:hAnsi="宋体" w:eastAsia="宋体"/>
        <w:sz w:val="28"/>
        <w:szCs w:val="28"/>
      </w:rPr>
    </w:lvl>
    <w:lvl w:ilvl="1" w:tentative="0">
      <w:start w:val="1"/>
      <w:numFmt w:val="chineseCountingThousand"/>
      <w:pStyle w:val="4"/>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1NTM1YmI2ZTIzOTQxMzAzMGFmMzkwZjc0YWUwYTcifQ=="/>
  </w:docVars>
  <w:rsids>
    <w:rsidRoot w:val="00172A27"/>
    <w:rsid w:val="00186F9A"/>
    <w:rsid w:val="0075395C"/>
    <w:rsid w:val="007C2754"/>
    <w:rsid w:val="00925532"/>
    <w:rsid w:val="00932221"/>
    <w:rsid w:val="00BE39DE"/>
    <w:rsid w:val="00C63320"/>
    <w:rsid w:val="01063F2F"/>
    <w:rsid w:val="013A4168"/>
    <w:rsid w:val="01621B30"/>
    <w:rsid w:val="019F681B"/>
    <w:rsid w:val="01C701E1"/>
    <w:rsid w:val="01F018A5"/>
    <w:rsid w:val="01FF51E1"/>
    <w:rsid w:val="0212042C"/>
    <w:rsid w:val="02665D1F"/>
    <w:rsid w:val="027C16B8"/>
    <w:rsid w:val="02CA2696"/>
    <w:rsid w:val="02CE7ED8"/>
    <w:rsid w:val="02D72661"/>
    <w:rsid w:val="02E27D1E"/>
    <w:rsid w:val="03231B33"/>
    <w:rsid w:val="035A6766"/>
    <w:rsid w:val="037564F7"/>
    <w:rsid w:val="038568B1"/>
    <w:rsid w:val="03A4488B"/>
    <w:rsid w:val="04052CD2"/>
    <w:rsid w:val="04253120"/>
    <w:rsid w:val="046A4F5A"/>
    <w:rsid w:val="05101E65"/>
    <w:rsid w:val="052905F2"/>
    <w:rsid w:val="057C3561"/>
    <w:rsid w:val="059E2D61"/>
    <w:rsid w:val="05A221EF"/>
    <w:rsid w:val="06090A43"/>
    <w:rsid w:val="0627267C"/>
    <w:rsid w:val="066E48A1"/>
    <w:rsid w:val="068877A3"/>
    <w:rsid w:val="06D81E7E"/>
    <w:rsid w:val="0702412D"/>
    <w:rsid w:val="070E5B8E"/>
    <w:rsid w:val="07465F1D"/>
    <w:rsid w:val="079F5DEA"/>
    <w:rsid w:val="07A13A99"/>
    <w:rsid w:val="07C803BD"/>
    <w:rsid w:val="0868687B"/>
    <w:rsid w:val="087F4A46"/>
    <w:rsid w:val="098D7D07"/>
    <w:rsid w:val="09914CCC"/>
    <w:rsid w:val="09B93DB1"/>
    <w:rsid w:val="09D05AAE"/>
    <w:rsid w:val="09D37D46"/>
    <w:rsid w:val="0A00497C"/>
    <w:rsid w:val="0A416590"/>
    <w:rsid w:val="0ACD0E20"/>
    <w:rsid w:val="0AE43B71"/>
    <w:rsid w:val="0AE66BD8"/>
    <w:rsid w:val="0AFD4F47"/>
    <w:rsid w:val="0B36617C"/>
    <w:rsid w:val="0BEB28E5"/>
    <w:rsid w:val="0BFF6E6A"/>
    <w:rsid w:val="0C191D25"/>
    <w:rsid w:val="0C460451"/>
    <w:rsid w:val="0C6A3A74"/>
    <w:rsid w:val="0C8A5ED9"/>
    <w:rsid w:val="0CA51BF8"/>
    <w:rsid w:val="0CF84633"/>
    <w:rsid w:val="0CF9301A"/>
    <w:rsid w:val="0D0F6543"/>
    <w:rsid w:val="0D1170D7"/>
    <w:rsid w:val="0D3F3AB1"/>
    <w:rsid w:val="0D475DE3"/>
    <w:rsid w:val="0D99060A"/>
    <w:rsid w:val="0DC440B5"/>
    <w:rsid w:val="0E0119CA"/>
    <w:rsid w:val="0E3B799D"/>
    <w:rsid w:val="0E8D58EF"/>
    <w:rsid w:val="0E92147E"/>
    <w:rsid w:val="0E9447A7"/>
    <w:rsid w:val="0E945FA7"/>
    <w:rsid w:val="0EAB4F3D"/>
    <w:rsid w:val="0F181A44"/>
    <w:rsid w:val="0F1A64E0"/>
    <w:rsid w:val="0F370CF4"/>
    <w:rsid w:val="0F46677D"/>
    <w:rsid w:val="0F9361E5"/>
    <w:rsid w:val="0F964D0E"/>
    <w:rsid w:val="0FE976DE"/>
    <w:rsid w:val="103319B1"/>
    <w:rsid w:val="10894EE9"/>
    <w:rsid w:val="10A10C64"/>
    <w:rsid w:val="10AF61AA"/>
    <w:rsid w:val="10BD324F"/>
    <w:rsid w:val="10DC4F92"/>
    <w:rsid w:val="11041724"/>
    <w:rsid w:val="11C82605"/>
    <w:rsid w:val="11D13ACD"/>
    <w:rsid w:val="120A6163"/>
    <w:rsid w:val="121767BD"/>
    <w:rsid w:val="126679E3"/>
    <w:rsid w:val="129E7FD4"/>
    <w:rsid w:val="12C17203"/>
    <w:rsid w:val="12DE2C66"/>
    <w:rsid w:val="12F770A1"/>
    <w:rsid w:val="13263CAA"/>
    <w:rsid w:val="134278D7"/>
    <w:rsid w:val="134E540A"/>
    <w:rsid w:val="1373245A"/>
    <w:rsid w:val="137C5BDF"/>
    <w:rsid w:val="139D30C7"/>
    <w:rsid w:val="13D92DAD"/>
    <w:rsid w:val="14280C7A"/>
    <w:rsid w:val="142E7791"/>
    <w:rsid w:val="1430235A"/>
    <w:rsid w:val="143C4EDC"/>
    <w:rsid w:val="14487244"/>
    <w:rsid w:val="145C0174"/>
    <w:rsid w:val="149C7B8C"/>
    <w:rsid w:val="152715E7"/>
    <w:rsid w:val="1538070B"/>
    <w:rsid w:val="154948AD"/>
    <w:rsid w:val="15AC05E8"/>
    <w:rsid w:val="15AD71D1"/>
    <w:rsid w:val="15D77F39"/>
    <w:rsid w:val="1610408F"/>
    <w:rsid w:val="16337DFA"/>
    <w:rsid w:val="18D80D2E"/>
    <w:rsid w:val="191602D5"/>
    <w:rsid w:val="19362169"/>
    <w:rsid w:val="199D6351"/>
    <w:rsid w:val="19B80715"/>
    <w:rsid w:val="19E50A51"/>
    <w:rsid w:val="1A013988"/>
    <w:rsid w:val="1A6E1E0F"/>
    <w:rsid w:val="1A741C95"/>
    <w:rsid w:val="1A7F776C"/>
    <w:rsid w:val="1B08780C"/>
    <w:rsid w:val="1B1F49AA"/>
    <w:rsid w:val="1B212DC6"/>
    <w:rsid w:val="1B5148C7"/>
    <w:rsid w:val="1B97746B"/>
    <w:rsid w:val="1BF974E3"/>
    <w:rsid w:val="1C121B47"/>
    <w:rsid w:val="1C176223"/>
    <w:rsid w:val="1C2D4C7B"/>
    <w:rsid w:val="1C32604D"/>
    <w:rsid w:val="1C3425A1"/>
    <w:rsid w:val="1C5D05C3"/>
    <w:rsid w:val="1C864B05"/>
    <w:rsid w:val="1CE267C7"/>
    <w:rsid w:val="1DA92602"/>
    <w:rsid w:val="1DC30C3B"/>
    <w:rsid w:val="1DF366D0"/>
    <w:rsid w:val="1DFE71E1"/>
    <w:rsid w:val="1E2C5F55"/>
    <w:rsid w:val="1E8D16A5"/>
    <w:rsid w:val="1EB10EAF"/>
    <w:rsid w:val="1EBA2DD9"/>
    <w:rsid w:val="1F223576"/>
    <w:rsid w:val="1F2C3526"/>
    <w:rsid w:val="1F6060C7"/>
    <w:rsid w:val="1F876B10"/>
    <w:rsid w:val="20555F76"/>
    <w:rsid w:val="20A420AE"/>
    <w:rsid w:val="210F504D"/>
    <w:rsid w:val="21300D49"/>
    <w:rsid w:val="219B7D3F"/>
    <w:rsid w:val="21B55747"/>
    <w:rsid w:val="21D20835"/>
    <w:rsid w:val="229A6621"/>
    <w:rsid w:val="22A61CC2"/>
    <w:rsid w:val="22BB406C"/>
    <w:rsid w:val="22BC5741"/>
    <w:rsid w:val="232C6BD0"/>
    <w:rsid w:val="235F050E"/>
    <w:rsid w:val="23825FAA"/>
    <w:rsid w:val="23B24AE2"/>
    <w:rsid w:val="23F31321"/>
    <w:rsid w:val="24500932"/>
    <w:rsid w:val="247A75F0"/>
    <w:rsid w:val="24B5139E"/>
    <w:rsid w:val="24C525F3"/>
    <w:rsid w:val="251E499C"/>
    <w:rsid w:val="25385FCD"/>
    <w:rsid w:val="254E36E8"/>
    <w:rsid w:val="25692B08"/>
    <w:rsid w:val="25F70640"/>
    <w:rsid w:val="26D23C06"/>
    <w:rsid w:val="27527BC8"/>
    <w:rsid w:val="275A34C6"/>
    <w:rsid w:val="278338B5"/>
    <w:rsid w:val="27DB6E50"/>
    <w:rsid w:val="27FF7BCA"/>
    <w:rsid w:val="285F3486"/>
    <w:rsid w:val="28A43970"/>
    <w:rsid w:val="28B44523"/>
    <w:rsid w:val="28CE464D"/>
    <w:rsid w:val="29901236"/>
    <w:rsid w:val="29C16554"/>
    <w:rsid w:val="29C9088E"/>
    <w:rsid w:val="29F16E87"/>
    <w:rsid w:val="29F554B9"/>
    <w:rsid w:val="2A3B1D0C"/>
    <w:rsid w:val="2A3B696E"/>
    <w:rsid w:val="2A500721"/>
    <w:rsid w:val="2A5C126E"/>
    <w:rsid w:val="2A5F42E4"/>
    <w:rsid w:val="2A7B1D92"/>
    <w:rsid w:val="2A9E642D"/>
    <w:rsid w:val="2AAE7B1B"/>
    <w:rsid w:val="2AC64341"/>
    <w:rsid w:val="2AF74AFA"/>
    <w:rsid w:val="2B4E0B00"/>
    <w:rsid w:val="2BD450D3"/>
    <w:rsid w:val="2BD80E5D"/>
    <w:rsid w:val="2BE57F63"/>
    <w:rsid w:val="2C2F41F0"/>
    <w:rsid w:val="2C490FEF"/>
    <w:rsid w:val="2C77727F"/>
    <w:rsid w:val="2C892A75"/>
    <w:rsid w:val="2CB846DC"/>
    <w:rsid w:val="2D217AF5"/>
    <w:rsid w:val="2D2C5D79"/>
    <w:rsid w:val="2D3E2F42"/>
    <w:rsid w:val="2DE8038D"/>
    <w:rsid w:val="2DF316F7"/>
    <w:rsid w:val="2DF93190"/>
    <w:rsid w:val="2DFE521A"/>
    <w:rsid w:val="2E59721E"/>
    <w:rsid w:val="2E7B69BA"/>
    <w:rsid w:val="2E9A328C"/>
    <w:rsid w:val="2FAD337E"/>
    <w:rsid w:val="304557D8"/>
    <w:rsid w:val="30640A4A"/>
    <w:rsid w:val="3111559E"/>
    <w:rsid w:val="3113058B"/>
    <w:rsid w:val="312C1AED"/>
    <w:rsid w:val="3189249A"/>
    <w:rsid w:val="3196141C"/>
    <w:rsid w:val="31D13ECD"/>
    <w:rsid w:val="31FB296F"/>
    <w:rsid w:val="32107B06"/>
    <w:rsid w:val="321F1866"/>
    <w:rsid w:val="32274F37"/>
    <w:rsid w:val="323D6CB6"/>
    <w:rsid w:val="32566594"/>
    <w:rsid w:val="325B1341"/>
    <w:rsid w:val="32C336D1"/>
    <w:rsid w:val="330F7309"/>
    <w:rsid w:val="33B838BE"/>
    <w:rsid w:val="33EE3601"/>
    <w:rsid w:val="33F56390"/>
    <w:rsid w:val="34C57885"/>
    <w:rsid w:val="357613E0"/>
    <w:rsid w:val="35793605"/>
    <w:rsid w:val="359809DD"/>
    <w:rsid w:val="35B8262E"/>
    <w:rsid w:val="35C33543"/>
    <w:rsid w:val="35FA4954"/>
    <w:rsid w:val="35FC0710"/>
    <w:rsid w:val="372847D4"/>
    <w:rsid w:val="373140B7"/>
    <w:rsid w:val="37367DD7"/>
    <w:rsid w:val="37447668"/>
    <w:rsid w:val="37903A8C"/>
    <w:rsid w:val="37B47B8B"/>
    <w:rsid w:val="38197DBB"/>
    <w:rsid w:val="385A2AE8"/>
    <w:rsid w:val="386E28E3"/>
    <w:rsid w:val="39700E21"/>
    <w:rsid w:val="39C809FB"/>
    <w:rsid w:val="3A2C26B1"/>
    <w:rsid w:val="3A4078E5"/>
    <w:rsid w:val="3A564F37"/>
    <w:rsid w:val="3ABE0FD9"/>
    <w:rsid w:val="3AF62875"/>
    <w:rsid w:val="3B1F3231"/>
    <w:rsid w:val="3B5B6F79"/>
    <w:rsid w:val="3B7C4545"/>
    <w:rsid w:val="3B7D63DA"/>
    <w:rsid w:val="3BB41DBB"/>
    <w:rsid w:val="3BC01A32"/>
    <w:rsid w:val="3BF53275"/>
    <w:rsid w:val="3C422B2C"/>
    <w:rsid w:val="3CA202DF"/>
    <w:rsid w:val="3CDF5BC2"/>
    <w:rsid w:val="3D3408C0"/>
    <w:rsid w:val="3D5A3FC9"/>
    <w:rsid w:val="3E031B19"/>
    <w:rsid w:val="3E1864B0"/>
    <w:rsid w:val="3E5C5174"/>
    <w:rsid w:val="3EA44E73"/>
    <w:rsid w:val="3EA6215E"/>
    <w:rsid w:val="3EBC0479"/>
    <w:rsid w:val="3EF1169A"/>
    <w:rsid w:val="3F1C212F"/>
    <w:rsid w:val="3F3D74D1"/>
    <w:rsid w:val="3F7C719C"/>
    <w:rsid w:val="3FA173BC"/>
    <w:rsid w:val="40072F65"/>
    <w:rsid w:val="405D624B"/>
    <w:rsid w:val="406B234E"/>
    <w:rsid w:val="406C6952"/>
    <w:rsid w:val="40AE3E5E"/>
    <w:rsid w:val="40EB606D"/>
    <w:rsid w:val="41031E02"/>
    <w:rsid w:val="410D5EAB"/>
    <w:rsid w:val="414C39F0"/>
    <w:rsid w:val="415C2BE2"/>
    <w:rsid w:val="41D30266"/>
    <w:rsid w:val="41E41D8F"/>
    <w:rsid w:val="42094C6D"/>
    <w:rsid w:val="42A4513C"/>
    <w:rsid w:val="42AD23DF"/>
    <w:rsid w:val="42F04887"/>
    <w:rsid w:val="435A449F"/>
    <w:rsid w:val="435F0A75"/>
    <w:rsid w:val="438A7134"/>
    <w:rsid w:val="439A472A"/>
    <w:rsid w:val="439B7F2B"/>
    <w:rsid w:val="43A571CF"/>
    <w:rsid w:val="44105C06"/>
    <w:rsid w:val="441C7FD3"/>
    <w:rsid w:val="448A0B6A"/>
    <w:rsid w:val="449746A0"/>
    <w:rsid w:val="44B5616D"/>
    <w:rsid w:val="44CB6BC4"/>
    <w:rsid w:val="44D51C9D"/>
    <w:rsid w:val="45036E8F"/>
    <w:rsid w:val="45674D53"/>
    <w:rsid w:val="45906002"/>
    <w:rsid w:val="4592180D"/>
    <w:rsid w:val="45C565EC"/>
    <w:rsid w:val="460209EE"/>
    <w:rsid w:val="4642261A"/>
    <w:rsid w:val="46486999"/>
    <w:rsid w:val="4692576C"/>
    <w:rsid w:val="46BD1569"/>
    <w:rsid w:val="46E80F54"/>
    <w:rsid w:val="47C67CFB"/>
    <w:rsid w:val="47D64153"/>
    <w:rsid w:val="47E62066"/>
    <w:rsid w:val="48C12F4D"/>
    <w:rsid w:val="48CC4844"/>
    <w:rsid w:val="4960096A"/>
    <w:rsid w:val="498B313C"/>
    <w:rsid w:val="49A1426E"/>
    <w:rsid w:val="49AD1ADA"/>
    <w:rsid w:val="49BE6FE3"/>
    <w:rsid w:val="49CC0F38"/>
    <w:rsid w:val="4A192850"/>
    <w:rsid w:val="4A632DA1"/>
    <w:rsid w:val="4A685786"/>
    <w:rsid w:val="4AB07A86"/>
    <w:rsid w:val="4AEA342D"/>
    <w:rsid w:val="4B645C7A"/>
    <w:rsid w:val="4B6D7B5F"/>
    <w:rsid w:val="4B915B6D"/>
    <w:rsid w:val="4BAA747F"/>
    <w:rsid w:val="4BBC3199"/>
    <w:rsid w:val="4C2B77B2"/>
    <w:rsid w:val="4C755E51"/>
    <w:rsid w:val="4C892C17"/>
    <w:rsid w:val="4CBE712F"/>
    <w:rsid w:val="4CF82CB6"/>
    <w:rsid w:val="4D0F4255"/>
    <w:rsid w:val="4D2C4661"/>
    <w:rsid w:val="4DDB43B0"/>
    <w:rsid w:val="4DE81745"/>
    <w:rsid w:val="4DF023FF"/>
    <w:rsid w:val="4E315A6D"/>
    <w:rsid w:val="4E400CA4"/>
    <w:rsid w:val="4EAB1174"/>
    <w:rsid w:val="4EB2476F"/>
    <w:rsid w:val="4EC40AAC"/>
    <w:rsid w:val="4EC56BC8"/>
    <w:rsid w:val="4EEE303D"/>
    <w:rsid w:val="4F0213C2"/>
    <w:rsid w:val="4F353A65"/>
    <w:rsid w:val="4F7F6C87"/>
    <w:rsid w:val="4FAF7F7C"/>
    <w:rsid w:val="4FFA41CA"/>
    <w:rsid w:val="50106390"/>
    <w:rsid w:val="50161CC6"/>
    <w:rsid w:val="50254EC9"/>
    <w:rsid w:val="503F55AC"/>
    <w:rsid w:val="508A0853"/>
    <w:rsid w:val="509B3A0B"/>
    <w:rsid w:val="50A11FE0"/>
    <w:rsid w:val="50B2385B"/>
    <w:rsid w:val="513044BE"/>
    <w:rsid w:val="518C1080"/>
    <w:rsid w:val="524730B2"/>
    <w:rsid w:val="5268443A"/>
    <w:rsid w:val="527B3F24"/>
    <w:rsid w:val="52887ADE"/>
    <w:rsid w:val="52905650"/>
    <w:rsid w:val="529344DE"/>
    <w:rsid w:val="52C94061"/>
    <w:rsid w:val="52CF2856"/>
    <w:rsid w:val="52FB4B21"/>
    <w:rsid w:val="53D15071"/>
    <w:rsid w:val="53D43147"/>
    <w:rsid w:val="53E14715"/>
    <w:rsid w:val="543D36A4"/>
    <w:rsid w:val="54433E7E"/>
    <w:rsid w:val="546365A3"/>
    <w:rsid w:val="54CF3259"/>
    <w:rsid w:val="550579FB"/>
    <w:rsid w:val="55766852"/>
    <w:rsid w:val="559248EC"/>
    <w:rsid w:val="559F50D6"/>
    <w:rsid w:val="55D10548"/>
    <w:rsid w:val="56382B7F"/>
    <w:rsid w:val="56E50ACA"/>
    <w:rsid w:val="579719BC"/>
    <w:rsid w:val="58994E19"/>
    <w:rsid w:val="58B2488D"/>
    <w:rsid w:val="58C168E5"/>
    <w:rsid w:val="58CE6FC1"/>
    <w:rsid w:val="58D2234C"/>
    <w:rsid w:val="59085977"/>
    <w:rsid w:val="59AF06F9"/>
    <w:rsid w:val="59B05F22"/>
    <w:rsid w:val="59B60656"/>
    <w:rsid w:val="5A113C77"/>
    <w:rsid w:val="5A380F0D"/>
    <w:rsid w:val="5A91404C"/>
    <w:rsid w:val="5B5372B4"/>
    <w:rsid w:val="5B577A00"/>
    <w:rsid w:val="5BD13465"/>
    <w:rsid w:val="5C501E2D"/>
    <w:rsid w:val="5C60057A"/>
    <w:rsid w:val="5C9F2E6D"/>
    <w:rsid w:val="5CD22EAE"/>
    <w:rsid w:val="5CED0D10"/>
    <w:rsid w:val="5CF604C4"/>
    <w:rsid w:val="5D274D90"/>
    <w:rsid w:val="5D552408"/>
    <w:rsid w:val="5D8D6F43"/>
    <w:rsid w:val="5D8E1955"/>
    <w:rsid w:val="5DC309DB"/>
    <w:rsid w:val="5E2D5235"/>
    <w:rsid w:val="5E383476"/>
    <w:rsid w:val="5E8B68CF"/>
    <w:rsid w:val="5ED45232"/>
    <w:rsid w:val="5EFA76D0"/>
    <w:rsid w:val="5F4E60CA"/>
    <w:rsid w:val="5F9B3A3F"/>
    <w:rsid w:val="5FDE6537"/>
    <w:rsid w:val="602022B2"/>
    <w:rsid w:val="60353AF3"/>
    <w:rsid w:val="60B056FA"/>
    <w:rsid w:val="60B82A30"/>
    <w:rsid w:val="614A7655"/>
    <w:rsid w:val="616416F9"/>
    <w:rsid w:val="61A76708"/>
    <w:rsid w:val="61AD053C"/>
    <w:rsid w:val="61CE59F4"/>
    <w:rsid w:val="620D2CEB"/>
    <w:rsid w:val="62DE0931"/>
    <w:rsid w:val="63520F1A"/>
    <w:rsid w:val="63543822"/>
    <w:rsid w:val="637D4B55"/>
    <w:rsid w:val="63A05830"/>
    <w:rsid w:val="63E643B8"/>
    <w:rsid w:val="640235E4"/>
    <w:rsid w:val="640E4E7E"/>
    <w:rsid w:val="647A36C2"/>
    <w:rsid w:val="64896399"/>
    <w:rsid w:val="649E7ED9"/>
    <w:rsid w:val="64A758F9"/>
    <w:rsid w:val="64C41AF4"/>
    <w:rsid w:val="64C94219"/>
    <w:rsid w:val="64EE6A81"/>
    <w:rsid w:val="65037BB6"/>
    <w:rsid w:val="654C349D"/>
    <w:rsid w:val="65586CD4"/>
    <w:rsid w:val="655A40B6"/>
    <w:rsid w:val="656643F7"/>
    <w:rsid w:val="65E25E59"/>
    <w:rsid w:val="65FD37CF"/>
    <w:rsid w:val="66056218"/>
    <w:rsid w:val="662D3AD0"/>
    <w:rsid w:val="66723E06"/>
    <w:rsid w:val="668B4D9A"/>
    <w:rsid w:val="66B17ADD"/>
    <w:rsid w:val="66CB52B7"/>
    <w:rsid w:val="66CD0842"/>
    <w:rsid w:val="66D71C28"/>
    <w:rsid w:val="66DF2309"/>
    <w:rsid w:val="67031C57"/>
    <w:rsid w:val="672F227A"/>
    <w:rsid w:val="67796DFB"/>
    <w:rsid w:val="678720E2"/>
    <w:rsid w:val="67AD2842"/>
    <w:rsid w:val="68394457"/>
    <w:rsid w:val="68703912"/>
    <w:rsid w:val="6875057B"/>
    <w:rsid w:val="68871546"/>
    <w:rsid w:val="68B87184"/>
    <w:rsid w:val="68BC15BC"/>
    <w:rsid w:val="68BD6BA1"/>
    <w:rsid w:val="68F005FE"/>
    <w:rsid w:val="6919500A"/>
    <w:rsid w:val="69337E19"/>
    <w:rsid w:val="6A0532A1"/>
    <w:rsid w:val="6A122A96"/>
    <w:rsid w:val="6A243F51"/>
    <w:rsid w:val="6A9F0348"/>
    <w:rsid w:val="6AA60402"/>
    <w:rsid w:val="6B23396D"/>
    <w:rsid w:val="6B33079D"/>
    <w:rsid w:val="6B533A81"/>
    <w:rsid w:val="6BB837D3"/>
    <w:rsid w:val="6BCD2B7A"/>
    <w:rsid w:val="6C140486"/>
    <w:rsid w:val="6C506490"/>
    <w:rsid w:val="6C6966AA"/>
    <w:rsid w:val="6C792B2B"/>
    <w:rsid w:val="6C992961"/>
    <w:rsid w:val="6CDD5DDA"/>
    <w:rsid w:val="6D084F7C"/>
    <w:rsid w:val="6D441C7B"/>
    <w:rsid w:val="6D62345C"/>
    <w:rsid w:val="6D8D693E"/>
    <w:rsid w:val="6DA6718F"/>
    <w:rsid w:val="6E080A13"/>
    <w:rsid w:val="6E3522AF"/>
    <w:rsid w:val="6E4808DF"/>
    <w:rsid w:val="6E645439"/>
    <w:rsid w:val="6E886857"/>
    <w:rsid w:val="6EA24C9E"/>
    <w:rsid w:val="6F142D4D"/>
    <w:rsid w:val="6F210A6C"/>
    <w:rsid w:val="6F3256B4"/>
    <w:rsid w:val="6F6F4C02"/>
    <w:rsid w:val="6F92331A"/>
    <w:rsid w:val="6F9D18BF"/>
    <w:rsid w:val="6FB4694C"/>
    <w:rsid w:val="6FB72E6C"/>
    <w:rsid w:val="6FEC30CC"/>
    <w:rsid w:val="6FEF31B2"/>
    <w:rsid w:val="705D3F31"/>
    <w:rsid w:val="70726E22"/>
    <w:rsid w:val="707D0BEC"/>
    <w:rsid w:val="70A37393"/>
    <w:rsid w:val="70BB445C"/>
    <w:rsid w:val="711E7A05"/>
    <w:rsid w:val="71737F52"/>
    <w:rsid w:val="722970A8"/>
    <w:rsid w:val="72372D87"/>
    <w:rsid w:val="72724264"/>
    <w:rsid w:val="727A6A13"/>
    <w:rsid w:val="72D45B14"/>
    <w:rsid w:val="72D72911"/>
    <w:rsid w:val="73104330"/>
    <w:rsid w:val="735C3025"/>
    <w:rsid w:val="73A0425E"/>
    <w:rsid w:val="73A75F77"/>
    <w:rsid w:val="73CD6508"/>
    <w:rsid w:val="73F65F6A"/>
    <w:rsid w:val="74CD2380"/>
    <w:rsid w:val="750F3DE0"/>
    <w:rsid w:val="751722A5"/>
    <w:rsid w:val="754931CC"/>
    <w:rsid w:val="757006DB"/>
    <w:rsid w:val="759029FB"/>
    <w:rsid w:val="75970AFD"/>
    <w:rsid w:val="75C52990"/>
    <w:rsid w:val="75E9745F"/>
    <w:rsid w:val="75ED4AD2"/>
    <w:rsid w:val="75FD4DF0"/>
    <w:rsid w:val="76A06818"/>
    <w:rsid w:val="76E2798B"/>
    <w:rsid w:val="771F456D"/>
    <w:rsid w:val="77316C5C"/>
    <w:rsid w:val="773C186D"/>
    <w:rsid w:val="774C443D"/>
    <w:rsid w:val="77615F18"/>
    <w:rsid w:val="777A449D"/>
    <w:rsid w:val="778F3545"/>
    <w:rsid w:val="77F83326"/>
    <w:rsid w:val="783D22A9"/>
    <w:rsid w:val="78542BE7"/>
    <w:rsid w:val="78957EF8"/>
    <w:rsid w:val="78EC6F8A"/>
    <w:rsid w:val="78EF226A"/>
    <w:rsid w:val="79284FD5"/>
    <w:rsid w:val="79705CA0"/>
    <w:rsid w:val="79863E66"/>
    <w:rsid w:val="79B1459D"/>
    <w:rsid w:val="79D47902"/>
    <w:rsid w:val="7A310467"/>
    <w:rsid w:val="7A6823CB"/>
    <w:rsid w:val="7A6A2179"/>
    <w:rsid w:val="7A701748"/>
    <w:rsid w:val="7A8D43B8"/>
    <w:rsid w:val="7A9B392D"/>
    <w:rsid w:val="7AA90CC8"/>
    <w:rsid w:val="7B3D2F0B"/>
    <w:rsid w:val="7B7B7846"/>
    <w:rsid w:val="7B8F152B"/>
    <w:rsid w:val="7B936F76"/>
    <w:rsid w:val="7BA568F0"/>
    <w:rsid w:val="7BB763C6"/>
    <w:rsid w:val="7C27377E"/>
    <w:rsid w:val="7C3866D8"/>
    <w:rsid w:val="7C401F79"/>
    <w:rsid w:val="7C724BD9"/>
    <w:rsid w:val="7D2101D0"/>
    <w:rsid w:val="7D6C0D4B"/>
    <w:rsid w:val="7D7C4771"/>
    <w:rsid w:val="7D9309C4"/>
    <w:rsid w:val="7DC6000E"/>
    <w:rsid w:val="7DD542F5"/>
    <w:rsid w:val="7E0F492A"/>
    <w:rsid w:val="7E181679"/>
    <w:rsid w:val="7E1A7217"/>
    <w:rsid w:val="7E9F3A19"/>
    <w:rsid w:val="7EA53C39"/>
    <w:rsid w:val="7F074B4D"/>
    <w:rsid w:val="7F1B558F"/>
    <w:rsid w:val="7F39469E"/>
    <w:rsid w:val="7F4D3459"/>
    <w:rsid w:val="7F9058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textAlignment w:val="baseline"/>
    </w:pPr>
    <w:rPr>
      <w:rFonts w:ascii="Calibri" w:hAnsi="Calibri" w:eastAsia="等线" w:cs="Times New Roman"/>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after="330" w:line="578" w:lineRule="atLeast"/>
      <w:ind w:left="0"/>
      <w:outlineLvl w:val="0"/>
    </w:pPr>
    <w:rPr>
      <w:b/>
      <w:bCs/>
      <w:kern w:val="44"/>
      <w:sz w:val="44"/>
      <w:szCs w:val="44"/>
    </w:rPr>
  </w:style>
  <w:style w:type="paragraph" w:styleId="4">
    <w:name w:val="heading 2"/>
    <w:basedOn w:val="1"/>
    <w:next w:val="1"/>
    <w:unhideWhenUsed/>
    <w:qFormat/>
    <w:uiPriority w:val="9"/>
    <w:pPr>
      <w:keepNext/>
      <w:keepLines/>
      <w:numPr>
        <w:ilvl w:val="1"/>
        <w:numId w:val="1"/>
      </w:numPr>
      <w:spacing w:before="260" w:after="260" w:line="416" w:lineRule="atLeast"/>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index 1"/>
    <w:basedOn w:val="1"/>
    <w:next w:val="1"/>
    <w:qFormat/>
    <w:uiPriority w:val="99"/>
  </w:style>
  <w:style w:type="paragraph" w:styleId="6">
    <w:name w:val="annotation text"/>
    <w:basedOn w:val="1"/>
    <w:semiHidden/>
    <w:qFormat/>
    <w:uiPriority w:val="0"/>
    <w:pPr>
      <w:jc w:val="left"/>
    </w:pPr>
  </w:style>
  <w:style w:type="paragraph" w:styleId="7">
    <w:name w:val="Body Text"/>
    <w:basedOn w:val="1"/>
    <w:next w:val="1"/>
    <w:qFormat/>
    <w:uiPriority w:val="0"/>
    <w:pPr>
      <w:jc w:val="center"/>
    </w:pPr>
    <w:rPr>
      <w:spacing w:val="-20"/>
      <w:sz w:val="44"/>
    </w:rPr>
  </w:style>
  <w:style w:type="paragraph" w:styleId="8">
    <w:name w:val="Body Text Indent"/>
    <w:basedOn w:val="1"/>
    <w:qFormat/>
    <w:uiPriority w:val="0"/>
    <w:pPr>
      <w:spacing w:line="360" w:lineRule="auto"/>
      <w:ind w:firstLine="480" w:firstLineChars="200"/>
    </w:pPr>
    <w:rPr>
      <w:sz w:val="24"/>
    </w:rPr>
  </w:style>
  <w:style w:type="paragraph" w:styleId="9">
    <w:name w:val="Block Text"/>
    <w:basedOn w:val="1"/>
    <w:qFormat/>
    <w:uiPriority w:val="0"/>
    <w:pPr>
      <w:spacing w:after="120"/>
      <w:ind w:left="1440" w:leftChars="700" w:right="1440" w:rightChars="700"/>
    </w:pPr>
  </w:style>
  <w:style w:type="paragraph" w:styleId="10">
    <w:name w:val="Plain Text"/>
    <w:basedOn w:val="1"/>
    <w:next w:val="1"/>
    <w:qFormat/>
    <w:uiPriority w:val="99"/>
    <w:rPr>
      <w:rFonts w:ascii="宋体" w:hAnsi="Courier New" w:cs="Courier New"/>
      <w:szCs w:val="21"/>
    </w:rPr>
  </w:style>
  <w:style w:type="paragraph" w:styleId="11">
    <w:name w:val="Body Text Indent 2"/>
    <w:basedOn w:val="1"/>
    <w:qFormat/>
    <w:uiPriority w:val="0"/>
    <w:pPr>
      <w:tabs>
        <w:tab w:val="left" w:pos="2250"/>
      </w:tabs>
      <w:spacing w:before="100" w:beforeAutospacing="1" w:line="400" w:lineRule="exact"/>
      <w:ind w:firstLine="629"/>
    </w:pPr>
    <w:rPr>
      <w:sz w:val="32"/>
    </w:rPr>
  </w:style>
  <w:style w:type="paragraph" w:styleId="12">
    <w:name w:val="footer"/>
    <w:basedOn w:val="1"/>
    <w:next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39"/>
    <w:pPr>
      <w:tabs>
        <w:tab w:val="right" w:leader="dot" w:pos="8800"/>
      </w:tabs>
      <w:spacing w:before="155" w:beforeLines="50" w:line="360" w:lineRule="auto"/>
      <w:jc w:val="center"/>
    </w:pPr>
    <w:rPr>
      <w:b/>
      <w:bCs/>
      <w:sz w:val="28"/>
      <w:szCs w:val="28"/>
    </w:rPr>
  </w:style>
  <w:style w:type="paragraph" w:styleId="15">
    <w:name w:val="table of figures"/>
    <w:basedOn w:val="1"/>
    <w:next w:val="1"/>
    <w:qFormat/>
    <w:uiPriority w:val="0"/>
    <w:pPr>
      <w:ind w:left="200" w:leftChars="200" w:hanging="200" w:hangingChars="200"/>
    </w:pPr>
  </w:style>
  <w:style w:type="paragraph" w:styleId="16">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kern w:val="0"/>
      <w:sz w:val="24"/>
    </w:rPr>
  </w:style>
  <w:style w:type="paragraph" w:styleId="17">
    <w:name w:val="Normal (Web)"/>
    <w:basedOn w:val="1"/>
    <w:unhideWhenUsed/>
    <w:qFormat/>
    <w:uiPriority w:val="99"/>
    <w:pPr>
      <w:spacing w:before="100" w:beforeAutospacing="1" w:after="100" w:afterAutospacing="1"/>
      <w:ind w:left="0" w:right="0"/>
      <w:jc w:val="left"/>
    </w:pPr>
    <w:rPr>
      <w:kern w:val="0"/>
      <w:sz w:val="24"/>
      <w:lang w:val="en-US" w:eastAsia="zh-CN" w:bidi="ar-SA"/>
    </w:rPr>
  </w:style>
  <w:style w:type="paragraph" w:styleId="18">
    <w:name w:val="Title"/>
    <w:basedOn w:val="1"/>
    <w:next w:val="1"/>
    <w:qFormat/>
    <w:uiPriority w:val="0"/>
    <w:pPr>
      <w:spacing w:before="240" w:after="60"/>
      <w:jc w:val="center"/>
      <w:outlineLvl w:val="0"/>
    </w:pPr>
    <w:rPr>
      <w:rFonts w:ascii="Cambria" w:hAnsi="Cambria" w:eastAsia="黑体"/>
      <w:b/>
      <w:bCs/>
      <w:sz w:val="30"/>
      <w:szCs w:val="32"/>
    </w:rPr>
  </w:style>
  <w:style w:type="paragraph" w:styleId="19">
    <w:name w:val="Body Text First Indent"/>
    <w:basedOn w:val="7"/>
    <w:unhideWhenUsed/>
    <w:qFormat/>
    <w:uiPriority w:val="99"/>
    <w:pPr>
      <w:widowControl w:val="0"/>
      <w:ind w:firstLine="420" w:firstLineChars="100"/>
      <w:jc w:val="center"/>
    </w:pPr>
    <w:rPr>
      <w:rFonts w:ascii="Times New Roman" w:hAnsi="Times New Roman" w:eastAsia="宋体" w:cs="Times New Roman"/>
      <w:kern w:val="2"/>
      <w:sz w:val="32"/>
      <w:lang w:val="en-US" w:eastAsia="zh-CN" w:bidi="ar-SA"/>
    </w:rPr>
  </w:style>
  <w:style w:type="paragraph" w:styleId="20">
    <w:name w:val="Body Text First Indent 2"/>
    <w:basedOn w:val="8"/>
    <w:qFormat/>
    <w:uiPriority w:val="0"/>
    <w:pPr>
      <w:ind w:firstLine="420" w:firstLineChars="200"/>
    </w:pPr>
    <w:rPr>
      <w:rFonts w:ascii="Calibri" w:hAnsi="Calibri"/>
    </w:rPr>
  </w:style>
  <w:style w:type="table" w:styleId="22">
    <w:name w:val="Table Grid"/>
    <w:basedOn w:val="21"/>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page number"/>
    <w:basedOn w:val="23"/>
    <w:qFormat/>
    <w:uiPriority w:val="0"/>
  </w:style>
  <w:style w:type="character" w:styleId="26">
    <w:name w:val="Hyperlink"/>
    <w:basedOn w:val="23"/>
    <w:unhideWhenUsed/>
    <w:qFormat/>
    <w:uiPriority w:val="99"/>
    <w:rPr>
      <w:color w:val="0563C1" w:themeColor="hyperlink"/>
      <w:u w:val="single"/>
      <w14:textFill>
        <w14:solidFill>
          <w14:schemeClr w14:val="hlink"/>
        </w14:solidFill>
      </w14:textFill>
    </w:rPr>
  </w:style>
  <w:style w:type="paragraph" w:customStyle="1" w:styleId="27">
    <w:name w:val="BodyText1I2"/>
    <w:basedOn w:val="28"/>
    <w:qFormat/>
    <w:uiPriority w:val="0"/>
    <w:pPr>
      <w:spacing w:line="560" w:lineRule="exact"/>
      <w:ind w:firstLine="420" w:firstLineChars="200"/>
    </w:pPr>
    <w:rPr>
      <w:rFonts w:ascii="Calibri" w:hAnsi="Calibri"/>
    </w:rPr>
  </w:style>
  <w:style w:type="paragraph" w:customStyle="1" w:styleId="28">
    <w:name w:val="BodyTextIndent"/>
    <w:basedOn w:val="1"/>
    <w:qFormat/>
    <w:uiPriority w:val="0"/>
    <w:pPr>
      <w:spacing w:after="120"/>
      <w:ind w:left="420" w:leftChars="200"/>
      <w:textAlignment w:val="baseline"/>
    </w:pPr>
  </w:style>
  <w:style w:type="character" w:customStyle="1" w:styleId="29">
    <w:name w:val="UserStyle_0"/>
    <w:link w:val="30"/>
    <w:qFormat/>
    <w:uiPriority w:val="0"/>
    <w:rPr>
      <w:rFonts w:ascii="Times New Roman" w:hAnsi="Times New Roman" w:eastAsia="宋体"/>
      <w:kern w:val="0"/>
      <w:sz w:val="20"/>
      <w:szCs w:val="20"/>
    </w:rPr>
  </w:style>
  <w:style w:type="paragraph" w:customStyle="1" w:styleId="30">
    <w:name w:val="UserStyle_1"/>
    <w:basedOn w:val="1"/>
    <w:link w:val="29"/>
    <w:qFormat/>
    <w:uiPriority w:val="0"/>
    <w:rPr>
      <w:rFonts w:ascii="Times New Roman" w:hAnsi="Times New Roman" w:eastAsia="宋体"/>
      <w:kern w:val="0"/>
      <w:sz w:val="20"/>
      <w:szCs w:val="20"/>
    </w:rPr>
  </w:style>
  <w:style w:type="character" w:customStyle="1" w:styleId="31">
    <w:name w:val="UserStyle_2"/>
    <w:link w:val="32"/>
    <w:qFormat/>
    <w:uiPriority w:val="0"/>
    <w:rPr>
      <w:rFonts w:ascii="Times New Roman" w:hAnsi="Times New Roman" w:eastAsia="宋体"/>
      <w:kern w:val="0"/>
      <w:sz w:val="20"/>
      <w:szCs w:val="20"/>
    </w:rPr>
  </w:style>
  <w:style w:type="paragraph" w:customStyle="1" w:styleId="32">
    <w:name w:val="UserStyle_3"/>
    <w:basedOn w:val="1"/>
    <w:link w:val="31"/>
    <w:qFormat/>
    <w:uiPriority w:val="0"/>
    <w:rPr>
      <w:rFonts w:ascii="Times New Roman" w:hAnsi="Times New Roman" w:eastAsia="宋体"/>
      <w:kern w:val="0"/>
      <w:sz w:val="20"/>
      <w:szCs w:val="20"/>
    </w:rPr>
  </w:style>
  <w:style w:type="character" w:customStyle="1" w:styleId="33">
    <w:name w:val="UserStyle_4"/>
    <w:qFormat/>
    <w:uiPriority w:val="0"/>
    <w:rPr>
      <w:rFonts w:ascii="Calibri" w:hAnsi="Calibri" w:eastAsia="宋体"/>
    </w:rPr>
  </w:style>
  <w:style w:type="character" w:customStyle="1" w:styleId="34">
    <w:name w:val="NormalCharacter"/>
    <w:qFormat/>
    <w:uiPriority w:val="0"/>
  </w:style>
  <w:style w:type="character" w:customStyle="1" w:styleId="35">
    <w:name w:val="font41"/>
    <w:basedOn w:val="23"/>
    <w:qFormat/>
    <w:uiPriority w:val="0"/>
    <w:rPr>
      <w:rFonts w:hint="eastAsia" w:ascii="仿宋" w:hAnsi="仿宋" w:eastAsia="仿宋" w:cs="仿宋"/>
      <w:color w:val="000000"/>
      <w:sz w:val="24"/>
      <w:szCs w:val="24"/>
      <w:u w:val="none"/>
    </w:rPr>
  </w:style>
  <w:style w:type="character" w:customStyle="1" w:styleId="36">
    <w:name w:val="font31"/>
    <w:basedOn w:val="23"/>
    <w:qFormat/>
    <w:uiPriority w:val="0"/>
    <w:rPr>
      <w:rFonts w:hint="eastAsia" w:ascii="仿宋" w:hAnsi="仿宋" w:eastAsia="仿宋" w:cs="仿宋"/>
      <w:color w:val="000000"/>
      <w:sz w:val="24"/>
      <w:szCs w:val="24"/>
      <w:u w:val="none"/>
    </w:rPr>
  </w:style>
  <w:style w:type="character" w:customStyle="1" w:styleId="37">
    <w:name w:val="font21"/>
    <w:basedOn w:val="23"/>
    <w:qFormat/>
    <w:uiPriority w:val="0"/>
    <w:rPr>
      <w:rFonts w:hint="eastAsia" w:ascii="仿宋" w:hAnsi="仿宋" w:eastAsia="仿宋" w:cs="仿宋"/>
      <w:color w:val="000000"/>
      <w:sz w:val="24"/>
      <w:szCs w:val="24"/>
      <w:u w:val="none"/>
    </w:rPr>
  </w:style>
  <w:style w:type="paragraph" w:customStyle="1" w:styleId="38">
    <w:name w:val="Default"/>
    <w:qFormat/>
    <w:uiPriority w:val="0"/>
    <w:pPr>
      <w:widowControl w:val="0"/>
      <w:autoSpaceDE w:val="0"/>
      <w:autoSpaceDN w:val="0"/>
      <w:adjustRightInd w:val="0"/>
    </w:pPr>
    <w:rPr>
      <w:rFonts w:ascii="仿宋_GB2312" w:hAnsi="等线" w:eastAsia="仿宋_GB2312" w:cs="仿宋_GB2312"/>
      <w:color w:val="000000"/>
      <w:kern w:val="0"/>
      <w:sz w:val="24"/>
      <w:szCs w:val="24"/>
      <w:lang w:val="en-US" w:eastAsia="zh-CN" w:bidi="ar-SA"/>
    </w:rPr>
  </w:style>
  <w:style w:type="character" w:customStyle="1" w:styleId="39">
    <w:name w:val="font11"/>
    <w:basedOn w:val="23"/>
    <w:qFormat/>
    <w:uiPriority w:val="0"/>
    <w:rPr>
      <w:rFonts w:ascii="Calibri" w:hAnsi="Calibri" w:cs="Calibri"/>
      <w:color w:val="000000"/>
      <w:sz w:val="22"/>
      <w:szCs w:val="22"/>
      <w:u w:val="none"/>
    </w:rPr>
  </w:style>
  <w:style w:type="character" w:customStyle="1" w:styleId="40">
    <w:name w:val="font51"/>
    <w:basedOn w:val="23"/>
    <w:qFormat/>
    <w:uiPriority w:val="0"/>
    <w:rPr>
      <w:rFonts w:hint="eastAsia" w:ascii="宋体" w:hAnsi="宋体" w:eastAsia="宋体" w:cs="宋体"/>
      <w:color w:val="000000"/>
      <w:sz w:val="22"/>
      <w:szCs w:val="22"/>
      <w:u w:val="none"/>
    </w:rPr>
  </w:style>
  <w:style w:type="character" w:customStyle="1" w:styleId="41">
    <w:name w:val="font111"/>
    <w:qFormat/>
    <w:uiPriority w:val="0"/>
    <w:rPr>
      <w:rFonts w:hint="eastAsia" w:ascii="仿宋" w:hAnsi="仿宋" w:eastAsia="仿宋" w:cs="仿宋"/>
      <w:color w:val="000000"/>
      <w:sz w:val="24"/>
      <w:szCs w:val="24"/>
      <w:u w:val="none"/>
    </w:rPr>
  </w:style>
  <w:style w:type="character" w:customStyle="1" w:styleId="42">
    <w:name w:val="font131"/>
    <w:qFormat/>
    <w:uiPriority w:val="0"/>
    <w:rPr>
      <w:rFonts w:hint="eastAsia" w:ascii="仿宋" w:hAnsi="仿宋" w:eastAsia="仿宋" w:cs="仿宋"/>
      <w:color w:val="000000"/>
      <w:sz w:val="24"/>
      <w:szCs w:val="24"/>
      <w:u w:val="none"/>
    </w:rPr>
  </w:style>
  <w:style w:type="paragraph" w:customStyle="1" w:styleId="43">
    <w:name w:val=" Char"/>
    <w:basedOn w:val="1"/>
    <w:qFormat/>
    <w:uiPriority w:val="0"/>
    <w:rPr>
      <w:rFonts w:ascii="宋体" w:hAnsi="宋体" w:cs="Courier New"/>
      <w:sz w:val="32"/>
      <w:szCs w:val="32"/>
    </w:rPr>
  </w:style>
  <w:style w:type="paragraph" w:customStyle="1" w:styleId="44">
    <w:name w:val="UserStyle_7"/>
    <w:qFormat/>
    <w:uiPriority w:val="0"/>
    <w:pPr>
      <w:tabs>
        <w:tab w:val="center" w:pos="4201"/>
        <w:tab w:val="right" w:leader="dot" w:pos="9298"/>
      </w:tabs>
      <w:ind w:firstLine="420" w:firstLineChars="200"/>
      <w:jc w:val="both"/>
      <w:textAlignment w:val="baseline"/>
    </w:pPr>
    <w:rPr>
      <w:rFonts w:ascii="宋体" w:hAnsi="Times New Roman" w:eastAsia="Times New Roman" w:cs="Times New Roman"/>
      <w:sz w:val="21"/>
      <w:lang w:val="en-US" w:eastAsia="zh-CN" w:bidi="ar-SA"/>
    </w:rPr>
  </w:style>
  <w:style w:type="paragraph" w:customStyle="1" w:styleId="45">
    <w:name w:val="NormalIndent"/>
    <w:basedOn w:val="1"/>
    <w:qFormat/>
    <w:uiPriority w:val="0"/>
    <w:pPr>
      <w:ind w:firstLine="420" w:firstLineChars="200"/>
    </w:pPr>
  </w:style>
  <w:style w:type="table" w:customStyle="1" w:styleId="46">
    <w:name w:val="Table Normal"/>
    <w:unhideWhenUsed/>
    <w:qFormat/>
    <w:uiPriority w:val="0"/>
    <w:tblPr>
      <w:tblCellMar>
        <w:top w:w="0" w:type="dxa"/>
        <w:left w:w="0" w:type="dxa"/>
        <w:bottom w:w="0" w:type="dxa"/>
        <w:right w:w="0" w:type="dxa"/>
      </w:tblCellMar>
    </w:tblPr>
  </w:style>
  <w:style w:type="paragraph" w:customStyle="1" w:styleId="47">
    <w:name w:val="样式 标题 1 + 四号 居中 段前: 12 磅 段后: 12 磅 行距: 单倍行距"/>
    <w:basedOn w:val="3"/>
    <w:qFormat/>
    <w:uiPriority w:val="0"/>
    <w:pPr>
      <w:spacing w:before="240" w:after="240" w:line="240" w:lineRule="auto"/>
      <w:jc w:val="center"/>
    </w:pPr>
    <w:rPr>
      <w:rFonts w:cs="宋体"/>
      <w:sz w:val="28"/>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2521</Words>
  <Characters>2739</Characters>
  <Lines>0</Lines>
  <Paragraphs>0</Paragraphs>
  <TotalTime>0</TotalTime>
  <ScaleCrop>false</ScaleCrop>
  <LinksUpToDate>false</LinksUpToDate>
  <CharactersWithSpaces>2922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2022-01-10T23:51:00Z</dcterms:created>
  <dc:creator>hp</dc:creator>
  <cp:lastModifiedBy>ff8080816dcd9c74016dcdd760dd0133</cp:lastModifiedBy>
  <dcterms:modified xsi:type="dcterms:W3CDTF">2022-10-14T05:32:35Z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28A201C88DFC479684D0679D68EA4A06</vt:lpwstr>
  </property>
</Properties>
</file>