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</w:t>
      </w:r>
      <w:r>
        <w:rPr>
          <w:rFonts w:hint="eastAsia" w:ascii="黑体" w:hAnsi="华文中宋" w:eastAsia="黑体"/>
          <w:bCs/>
          <w:sz w:val="52"/>
          <w:szCs w:val="52"/>
        </w:rPr>
        <w:t>2022年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48"/>
          <w:szCs w:val="48"/>
        </w:rPr>
      </w:pPr>
      <w:r>
        <w:rPr>
          <w:rFonts w:hint="eastAsia" w:ascii="黑体" w:hAnsi="华文中宋" w:eastAsia="黑体"/>
          <w:bCs/>
          <w:sz w:val="48"/>
          <w:szCs w:val="48"/>
          <w:lang w:eastAsia="zh-CN"/>
        </w:rPr>
        <w:t>安宁疗护人才</w:t>
      </w:r>
      <w:r>
        <w:rPr>
          <w:rFonts w:hint="eastAsia" w:ascii="黑体" w:hAnsi="华文中宋" w:eastAsia="黑体"/>
          <w:bCs/>
          <w:sz w:val="48"/>
          <w:szCs w:val="48"/>
        </w:rPr>
        <w:t>培训项目公开遴选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2022年XX月XX日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101344848"/>
      <w:bookmarkStart w:id="1" w:name="_Toc73546444"/>
      <w:bookmarkStart w:id="2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2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2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6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6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34300"/>
      <w:bookmarkStart w:id="6" w:name="_Toc73546445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73534301"/>
      <w:bookmarkStart w:id="10" w:name="_Toc73546446"/>
      <w:bookmarkStart w:id="11" w:name="_Toc101344853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2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  <w:r>
        <w:rPr>
          <w:b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价格部分（10分）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2"/>
              </w:rPr>
              <w:t>遴选报价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综合评分法中的价格分统一采用低价优先法计算，即满足遴选文件要求且价格最低的评审价为评标基准价，其价格分为满分。</w:t>
            </w: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/>
              <w:rPr>
                <w:rFonts w:hint="eastAsia" w:ascii="Tahoma" w:hAnsi="Tahoma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其他供应商的价格分统一按照下列公式计算：价格分数=（基准价/遴选报价）×价格权值1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0%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×10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0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 w:firstLineChars="2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如评审专家组认为某供应商报价明显低于其他供应商报价时，会要求其在合理的时间内提供书面说明，必要时提交相关材料。如供应商不能在指定时间证明其报价合理性的，评审专家组有权将其作为无效遴选处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单位条件（25分）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Cs w:val="22"/>
              </w:rPr>
              <w:t>单位资质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基本要求为本市普通高等医学院校、二级及以上医疗机构、学会或社会团体，具备法人资格，能安排学员在二级及以上医疗机构脱产实习。</w:t>
            </w: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根据招标文件的需求和投标文件响应情况进行横向比较，分档评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分：供应商资质优秀8</w:t>
            </w:r>
            <w:r>
              <w:rPr>
                <w:rFonts w:ascii="仿宋" w:hAnsi="仿宋" w:eastAsia="仿宋"/>
                <w:color w:val="000000"/>
                <w:szCs w:val="21"/>
              </w:rPr>
              <w:t>-10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分，资质良好5</w:t>
            </w:r>
            <w:r>
              <w:rPr>
                <w:rFonts w:ascii="仿宋" w:hAnsi="仿宋" w:eastAsia="仿宋"/>
                <w:color w:val="000000"/>
                <w:szCs w:val="21"/>
              </w:rPr>
              <w:t>-7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分，一般1</w:t>
            </w:r>
            <w:r>
              <w:rPr>
                <w:rFonts w:ascii="仿宋" w:hAnsi="仿宋" w:eastAsia="仿宋"/>
                <w:color w:val="000000"/>
                <w:szCs w:val="21"/>
              </w:rPr>
              <w:t>-4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经验能力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在过去3年（2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019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年1月始）曾承担/主办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/>
              </w:rPr>
              <w:t>医学、护理或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相关培训项目，包括继续教育项目。（需要提供证明材料）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根据培训项目级别、水平和社会效应进行酌情评价。国家层面培训5分/每个，市级层面培训3分/每个，本单位层面培训1分/每个，最高1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分。 </w:t>
            </w:r>
            <w:r>
              <w:rPr>
                <w:rFonts w:ascii="仿宋" w:hAnsi="仿宋" w:eastAsia="仿宋" w:cs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firstLine="422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firstLine="422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1" w:leftChars="0" w:hanging="1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业务计划（65分）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培训方案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项目方案科学合理性强、内容详细全面，可行性强,得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20-25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项目方案科学合理性较强、内容较为详细全面，可行性较好,得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14-19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项目方案科学合理、内容一般，有可行性,得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8-13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项目方案科学合理较差、内容不充实，可行性差,得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0-7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firstLine="422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培训师资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授课师资中，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高、中级职称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专家所占比例不低于70％，授课教师需熟悉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安宁疗护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临床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医疗和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护理相关内容或医疗项目运营等相关内容，具备较好的理论知识和技能，具备熟练的授课经验，且沟通能力及表达能力俱佳。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师资符合要求且水平较高者计</w:t>
            </w:r>
            <w:r>
              <w:rPr>
                <w:rFonts w:ascii="仿宋" w:hAnsi="仿宋" w:eastAsia="仿宋"/>
                <w:color w:val="000000"/>
              </w:rPr>
              <w:t>7-10</w:t>
            </w:r>
            <w:r>
              <w:rPr>
                <w:rFonts w:hint="eastAsia" w:ascii="仿宋" w:hAnsi="仿宋" w:eastAsia="仿宋"/>
                <w:color w:val="000000"/>
              </w:rPr>
              <w:t>分；师资部分符合要求计</w:t>
            </w:r>
            <w:r>
              <w:rPr>
                <w:rFonts w:ascii="仿宋" w:hAnsi="仿宋" w:eastAsia="仿宋"/>
                <w:color w:val="000000"/>
              </w:rPr>
              <w:t>3-6</w:t>
            </w:r>
            <w:r>
              <w:rPr>
                <w:rFonts w:hint="eastAsia" w:ascii="仿宋" w:hAnsi="仿宋" w:eastAsia="仿宋"/>
                <w:color w:val="000000"/>
              </w:rPr>
              <w:t>分；师资不符合要求者计0</w:t>
            </w:r>
            <w:r>
              <w:rPr>
                <w:rFonts w:ascii="仿宋" w:hAnsi="仿宋" w:eastAsia="仿宋"/>
                <w:color w:val="000000"/>
              </w:rPr>
              <w:t>-3</w:t>
            </w:r>
            <w:r>
              <w:rPr>
                <w:rFonts w:hint="eastAsia" w:ascii="仿宋" w:hAnsi="仿宋" w:eastAsia="仿宋"/>
                <w:color w:val="000000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组织管理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拟投入本项目的管理人员及组织分工情况评价：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基本要求，项目组织管理团队核心成员不少于</w:t>
            </w:r>
            <w:r>
              <w:rPr>
                <w:rFonts w:ascii="仿宋" w:hAnsi="仿宋" w:eastAsia="仿宋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人,熟悉老年护理、教育教学培训相关工作，中级或高级职称，人事关系隶属本单位对应部门。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（1）类似工作经验丰富，学历（专业）优于/符合要求，分工明确，组织合理，与项目实际契合度高，得7-10分；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（2）类似工作经验较丰富，学历（专业）符合要求，分工较明确，组织较合理，与项目实际契合度较高，得4-6分；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（3）类似工作经验一般，学历（专业）基本满足要求，分工一般，组织一般，与项目实际契合度一般，得1-3分；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（4）类似工作经验较差，学历（专业）较差，分工不明确，组织不太合理，无法满足实际需要，得0分。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注：需提供项目团队人员简介、人事隶属关系及学历资质证明。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经费管理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提供资金使用安全性的说明文件（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分）和相关财务制度（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分），并安排财务部门专人负责本项目经费的管理（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分）。</w:t>
            </w: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有一项未阐述或不满足上述描述的扣每项对应分值，扣完为止。如执行机构为医科大学、三级医疗机构等，鉴于其完善的财务管理制度及规范，此项可得满分。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  <w:t>服务承诺</w:t>
            </w:r>
          </w:p>
          <w:p>
            <w:pPr>
              <w:pStyle w:val="20"/>
              <w:pageBreakBefore w:val="0"/>
              <w:wordWrap/>
              <w:topLinePunct w:val="0"/>
              <w:bidi w:val="0"/>
              <w:spacing w:after="0" w:line="0" w:lineRule="atLeast"/>
              <w:ind w:firstLine="422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根据本项目组织举办期间及完成后需履行的各项要求，重点考察投标单位能否按照项目实施进度的时间要求，逐条做出具体承诺，以及完成承诺的各项措施和措施的合理性。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根据招标文件的需求和投标文件响应情况进行横向比较，分档评分：优</w:t>
            </w:r>
            <w:r>
              <w:rPr>
                <w:rFonts w:ascii="仿宋" w:hAnsi="仿宋" w:eastAsia="仿宋"/>
                <w:color w:val="000000"/>
              </w:rPr>
              <w:t>8-10</w:t>
            </w:r>
            <w:r>
              <w:rPr>
                <w:rFonts w:hint="eastAsia" w:ascii="仿宋" w:hAnsi="仿宋" w:eastAsia="仿宋"/>
                <w:color w:val="000000"/>
              </w:rPr>
              <w:t>分;良</w:t>
            </w:r>
            <w:r>
              <w:rPr>
                <w:rFonts w:ascii="仿宋" w:hAnsi="仿宋" w:eastAsia="仿宋"/>
                <w:color w:val="000000"/>
              </w:rPr>
              <w:t>4-7</w:t>
            </w:r>
            <w:r>
              <w:rPr>
                <w:rFonts w:hint="eastAsia" w:ascii="仿宋" w:hAnsi="仿宋" w:eastAsia="仿宋"/>
                <w:color w:val="000000"/>
              </w:rPr>
              <w:t>分；一般</w:t>
            </w:r>
            <w:r>
              <w:rPr>
                <w:rFonts w:ascii="仿宋" w:hAnsi="仿宋" w:eastAsia="仿宋"/>
                <w:color w:val="000000"/>
              </w:rPr>
              <w:t>1-3</w:t>
            </w:r>
            <w:r>
              <w:rPr>
                <w:rFonts w:hint="eastAsia" w:ascii="仿宋" w:hAnsi="仿宋" w:eastAsia="仿宋"/>
                <w:color w:val="000000"/>
              </w:rPr>
              <w:t xml:space="preserve">分；差不得分。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448"/>
        <w:gridCol w:w="1291"/>
        <w:gridCol w:w="970"/>
        <w:gridCol w:w="1822"/>
        <w:gridCol w:w="1559"/>
        <w:gridCol w:w="143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培训时间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培训项目主题    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培训项目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内容及效果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培训人数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培训主办承办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单位情况相关说明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（四）培训师资介绍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（六）组织管理及质量保证措施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（七）服务承诺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28"/>
          <w:lang w:eastAsia="zh-CN"/>
        </w:rPr>
        <w:br w:type="page"/>
      </w:r>
      <w:bookmarkStart w:id="21" w:name="_GoBack"/>
      <w:bookmarkEnd w:id="21"/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2715E7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7D5CE0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5E273F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7">
    <w:name w:val="index 1"/>
    <w:basedOn w:val="1"/>
    <w:next w:val="1"/>
    <w:qFormat/>
    <w:uiPriority w:val="99"/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2022-10-14T05:36:38Z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28A201C88DFC479684D0679D68EA4A06</vt:lpwstr>
  </property>
</Properties>
</file>