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仿宋" w:hAnsi="仿宋" w:eastAsia="仿宋" w:cs="宋体"/>
          <w:b/>
          <w:bCs/>
          <w:sz w:val="32"/>
          <w:szCs w:val="28"/>
        </w:rPr>
      </w:pPr>
      <w:r>
        <w:rPr>
          <w:rFonts w:ascii="仿宋" w:hAnsi="仿宋" w:eastAsia="仿宋" w:cs="宋体"/>
          <w:b/>
          <w:bCs/>
          <w:sz w:val="32"/>
          <w:szCs w:val="28"/>
        </w:rPr>
        <w:t>申请人须知</w:t>
      </w:r>
    </w:p>
    <w:p>
      <w:pPr>
        <w:spacing w:line="360" w:lineRule="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360" w:lineRule="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outlineLvl w:val="1"/>
        <w:rPr>
          <w:rFonts w:ascii="仿宋" w:hAnsi="仿宋" w:eastAsia="仿宋" w:cs="宋体"/>
          <w:bCs/>
          <w:sz w:val="28"/>
          <w:szCs w:val="28"/>
        </w:rPr>
      </w:pPr>
      <w:r>
        <w:rPr>
          <w:rFonts w:hint="eastAsia" w:ascii="仿宋" w:hAnsi="仿宋" w:eastAsia="仿宋" w:cs="宋体"/>
          <w:bCs/>
          <w:sz w:val="28"/>
          <w:szCs w:val="28"/>
        </w:rPr>
        <w:t>商务审查表</w:t>
      </w:r>
    </w:p>
    <w:tbl>
      <w:tblPr>
        <w:tblStyle w:val="10"/>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Times New Roman"/>
                <w:kern w:val="0"/>
                <w:sz w:val="20"/>
                <w:szCs w:val="20"/>
              </w:rPr>
            </w:pPr>
            <w:r>
              <w:rPr>
                <w:rFonts w:hint="eastAsia" w:ascii="仿宋" w:hAnsi="仿宋" w:eastAsia="仿宋" w:cs="宋体"/>
                <w:kern w:val="0"/>
                <w:sz w:val="28"/>
                <w:szCs w:val="28"/>
              </w:rPr>
              <w:t>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hint="eastAsia"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成交候选人。</w:t>
      </w:r>
      <w:r>
        <w:rPr>
          <w:rFonts w:hint="eastAsia" w:ascii="仿宋" w:hAnsi="仿宋" w:eastAsia="仿宋" w:cs="宋体"/>
          <w:b/>
          <w:bCs/>
          <w:sz w:val="28"/>
          <w:szCs w:val="28"/>
        </w:rPr>
        <w:t>由各业务处室最终决定成交申请人。</w:t>
      </w:r>
      <w:r>
        <w:rPr>
          <w:rFonts w:hint="eastAsia" w:ascii="仿宋" w:hAnsi="仿宋" w:eastAsia="仿宋" w:cs="宋体"/>
          <w:bCs/>
          <w:sz w:val="28"/>
          <w:szCs w:val="28"/>
        </w:rPr>
        <w:t>评分分值计算保留小数点后两位，第三位四舍五入。</w:t>
      </w:r>
    </w:p>
    <w:p>
      <w:pPr>
        <w:spacing w:line="360" w:lineRule="auto"/>
        <w:rPr>
          <w:rFonts w:ascii="仿宋" w:hAnsi="仿宋" w:eastAsia="仿宋" w:cs="宋体"/>
          <w:b/>
          <w:bCs/>
          <w:color w:val="FF0000"/>
          <w:sz w:val="28"/>
          <w:szCs w:val="28"/>
        </w:rPr>
      </w:pPr>
      <w:r>
        <w:rPr>
          <w:rFonts w:hint="eastAsia" w:ascii="仿宋" w:hAnsi="仿宋" w:eastAsia="仿宋" w:cs="宋体"/>
          <w:b/>
          <w:bCs/>
          <w:color w:val="FF0000"/>
          <w:sz w:val="28"/>
          <w:szCs w:val="28"/>
        </w:rPr>
        <w:t>5、本项目如仅有1家供应商进入到综合打分，则该供应商的总分应不低于60分，否则按废标处理。</w:t>
      </w:r>
    </w:p>
    <w:p>
      <w:pPr>
        <w:spacing w:line="360" w:lineRule="auto"/>
        <w:rPr>
          <w:rFonts w:ascii="仿宋" w:hAnsi="仿宋" w:eastAsia="仿宋" w:cs="宋体"/>
          <w:bCs/>
          <w:sz w:val="28"/>
          <w:szCs w:val="28"/>
        </w:rPr>
      </w:pPr>
      <w:r>
        <w:rPr>
          <w:rFonts w:hint="eastAsia" w:ascii="仿宋" w:hAnsi="仿宋" w:eastAsia="仿宋" w:cs="宋体"/>
          <w:bCs/>
          <w:sz w:val="28"/>
          <w:szCs w:val="28"/>
        </w:rPr>
        <w:t>6、成交供应商拒绝与采购人签订合同的，采购人可以按照评审报告推荐的成交候选人名单排序，确定下一候选人为成交供应商，也可以重新开展政府采购活动。</w:t>
      </w:r>
    </w:p>
    <w:p>
      <w:pPr>
        <w:widowControl/>
        <w:jc w:val="left"/>
        <w:rPr>
          <w:rFonts w:ascii="仿宋" w:hAnsi="仿宋" w:eastAsia="仿宋" w:cs="宋体"/>
          <w:b/>
          <w:bCs/>
          <w:sz w:val="28"/>
          <w:szCs w:val="28"/>
        </w:rPr>
      </w:pPr>
      <w:r>
        <w:rPr>
          <w:rFonts w:ascii="仿宋" w:hAnsi="仿宋" w:eastAsia="仿宋" w:cs="宋体"/>
          <w:b/>
          <w:bCs/>
          <w:sz w:val="28"/>
          <w:szCs w:val="28"/>
        </w:rPr>
        <w:br w:type="page"/>
      </w:r>
    </w:p>
    <w:p>
      <w:pPr>
        <w:pStyle w:val="2"/>
        <w:rPr>
          <w:b/>
        </w:rPr>
      </w:pPr>
      <w:r>
        <w:rPr>
          <w:b/>
        </w:rPr>
        <w:t>评分索引表</w:t>
      </w:r>
    </w:p>
    <w:tbl>
      <w:tblPr>
        <w:tblStyle w:val="10"/>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1191"/>
        <w:gridCol w:w="510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2" w:type="dxa"/>
            <w:noWrap w:val="0"/>
            <w:vAlign w:val="center"/>
          </w:tcPr>
          <w:p>
            <w:pPr>
              <w:rPr>
                <w:rFonts w:hint="eastAsia" w:ascii="仿宋" w:hAnsi="仿宋" w:eastAsia="仿宋"/>
                <w:color w:val="000000"/>
                <w:sz w:val="21"/>
                <w:szCs w:val="21"/>
              </w:rPr>
            </w:pPr>
            <w:bookmarkStart w:id="0" w:name="_GoBack" w:colFirst="3" w:colLast="3"/>
            <w:r>
              <w:rPr>
                <w:b/>
              </w:rPr>
              <w:br w:type="page"/>
            </w:r>
            <w:r>
              <w:rPr>
                <w:rFonts w:hint="eastAsia" w:ascii="仿宋" w:hAnsi="仿宋" w:eastAsia="仿宋"/>
                <w:b/>
                <w:color w:val="000000"/>
                <w:sz w:val="21"/>
                <w:szCs w:val="21"/>
              </w:rPr>
              <w:t>内容</w:t>
            </w:r>
          </w:p>
        </w:tc>
        <w:tc>
          <w:tcPr>
            <w:tcW w:w="1191" w:type="dxa"/>
            <w:noWrap w:val="0"/>
            <w:vAlign w:val="center"/>
          </w:tcPr>
          <w:p>
            <w:pPr>
              <w:pStyle w:val="9"/>
              <w:ind w:firstLine="0" w:firstLineChars="0"/>
              <w:jc w:val="center"/>
              <w:rPr>
                <w:rFonts w:hint="eastAsia" w:ascii="仿宋" w:hAnsi="仿宋" w:eastAsia="仿宋"/>
                <w:color w:val="000000"/>
                <w:sz w:val="21"/>
                <w:szCs w:val="21"/>
              </w:rPr>
            </w:pPr>
            <w:r>
              <w:rPr>
                <w:rFonts w:hint="eastAsia" w:ascii="仿宋" w:hAnsi="仿宋" w:eastAsia="仿宋"/>
                <w:b/>
                <w:color w:val="000000"/>
                <w:sz w:val="21"/>
                <w:szCs w:val="21"/>
              </w:rPr>
              <w:t>评分内容</w:t>
            </w:r>
          </w:p>
        </w:tc>
        <w:tc>
          <w:tcPr>
            <w:tcW w:w="5106" w:type="dxa"/>
            <w:noWrap w:val="0"/>
            <w:vAlign w:val="center"/>
          </w:tcPr>
          <w:p>
            <w:pPr>
              <w:pStyle w:val="9"/>
              <w:ind w:firstLine="0" w:firstLineChars="0"/>
              <w:jc w:val="center"/>
              <w:rPr>
                <w:rFonts w:hint="eastAsia" w:ascii="仿宋" w:hAnsi="仿宋" w:eastAsia="仿宋"/>
                <w:color w:val="000000"/>
                <w:sz w:val="21"/>
                <w:szCs w:val="21"/>
              </w:rPr>
            </w:pPr>
            <w:r>
              <w:rPr>
                <w:rFonts w:hint="eastAsia" w:ascii="仿宋" w:hAnsi="仿宋" w:eastAsia="仿宋"/>
                <w:b/>
                <w:color w:val="000000"/>
                <w:sz w:val="21"/>
                <w:szCs w:val="21"/>
              </w:rPr>
              <w:t>评标标准</w:t>
            </w:r>
          </w:p>
        </w:tc>
        <w:tc>
          <w:tcPr>
            <w:tcW w:w="851" w:type="dxa"/>
            <w:noWrap w:val="0"/>
            <w:vAlign w:val="center"/>
          </w:tcPr>
          <w:p>
            <w:pPr>
              <w:pStyle w:val="9"/>
              <w:ind w:firstLine="0" w:firstLineChars="0"/>
              <w:jc w:val="center"/>
              <w:rPr>
                <w:rFonts w:hint="eastAsia" w:ascii="仿宋" w:hAnsi="仿宋" w:eastAsia="仿宋"/>
                <w:b/>
                <w:color w:val="000000"/>
                <w:sz w:val="21"/>
                <w:szCs w:val="21"/>
                <w:lang w:eastAsia="zh-CN"/>
              </w:rPr>
            </w:pPr>
            <w:r>
              <w:rPr>
                <w:rFonts w:hint="eastAsia" w:ascii="仿宋" w:hAnsi="仿宋" w:eastAsia="仿宋"/>
                <w:b/>
                <w:color w:val="000000"/>
                <w:sz w:val="21"/>
                <w:szCs w:val="21"/>
                <w:lang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noWrap w:val="0"/>
            <w:vAlign w:val="center"/>
          </w:tcPr>
          <w:p>
            <w:pPr>
              <w:pStyle w:val="9"/>
              <w:ind w:firstLine="0" w:firstLineChars="0"/>
              <w:rPr>
                <w:rFonts w:hint="eastAsia" w:ascii="仿宋" w:hAnsi="仿宋" w:eastAsia="仿宋"/>
                <w:b/>
                <w:bCs/>
                <w:color w:val="000000"/>
                <w:sz w:val="21"/>
                <w:szCs w:val="21"/>
              </w:rPr>
            </w:pPr>
            <w:r>
              <w:rPr>
                <w:rFonts w:hint="eastAsia" w:ascii="仿宋" w:hAnsi="仿宋" w:eastAsia="仿宋"/>
                <w:b/>
                <w:bCs/>
                <w:color w:val="000000"/>
                <w:sz w:val="21"/>
                <w:szCs w:val="21"/>
              </w:rPr>
              <w:t>价格部分（10分）</w:t>
            </w:r>
          </w:p>
        </w:tc>
        <w:tc>
          <w:tcPr>
            <w:tcW w:w="1191" w:type="dxa"/>
            <w:noWrap w:val="0"/>
            <w:vAlign w:val="center"/>
          </w:tcPr>
          <w:p>
            <w:pPr>
              <w:pStyle w:val="9"/>
              <w:ind w:firstLine="0" w:firstLineChars="0"/>
              <w:jc w:val="center"/>
              <w:rPr>
                <w:rFonts w:ascii="仿宋" w:hAnsi="仿宋" w:eastAsia="仿宋" w:cs="宋体"/>
                <w:b/>
                <w:bCs/>
                <w:color w:val="000000"/>
                <w:sz w:val="21"/>
                <w:szCs w:val="21"/>
              </w:rPr>
            </w:pPr>
            <w:r>
              <w:rPr>
                <w:rFonts w:hint="eastAsia" w:ascii="仿宋" w:hAnsi="仿宋" w:eastAsia="仿宋" w:cs="宋体"/>
                <w:b/>
                <w:bCs/>
                <w:color w:val="000000"/>
                <w:sz w:val="21"/>
                <w:szCs w:val="21"/>
              </w:rPr>
              <w:t>遴选报价</w:t>
            </w:r>
          </w:p>
          <w:p>
            <w:pPr>
              <w:pStyle w:val="9"/>
              <w:ind w:firstLine="0" w:firstLineChars="0"/>
              <w:jc w:val="center"/>
              <w:rPr>
                <w:rFonts w:hint="eastAsia" w:ascii="仿宋" w:hAnsi="仿宋" w:eastAsia="仿宋"/>
                <w:b/>
                <w:bCs/>
                <w:color w:val="000000"/>
                <w:sz w:val="21"/>
                <w:szCs w:val="21"/>
              </w:rPr>
            </w:pPr>
            <w:r>
              <w:rPr>
                <w:rFonts w:hint="eastAsia" w:ascii="仿宋" w:hAnsi="仿宋" w:eastAsia="仿宋"/>
                <w:b/>
                <w:bCs/>
                <w:color w:val="000000"/>
                <w:sz w:val="21"/>
                <w:szCs w:val="21"/>
              </w:rPr>
              <w:t>（10分）</w:t>
            </w:r>
          </w:p>
        </w:tc>
        <w:tc>
          <w:tcPr>
            <w:tcW w:w="5106" w:type="dxa"/>
            <w:noWrap w:val="0"/>
            <w:vAlign w:val="center"/>
          </w:tcPr>
          <w:p>
            <w:pPr>
              <w:rPr>
                <w:rFonts w:ascii="仿宋" w:hAnsi="仿宋" w:eastAsia="仿宋"/>
                <w:b/>
                <w:color w:val="000000"/>
                <w:szCs w:val="21"/>
              </w:rPr>
            </w:pPr>
            <w:r>
              <w:rPr>
                <w:rFonts w:hint="eastAsia" w:ascii="仿宋" w:hAnsi="仿宋" w:eastAsia="仿宋" w:cs="仿宋_GB2312"/>
                <w:color w:val="000000"/>
                <w:szCs w:val="21"/>
              </w:rPr>
              <w:t>综合评分法中的价格分统一采用低价优先法计算，即满足遴选文件要求且价格最低的评审价为评标基准价，其价格分为满分。</w:t>
            </w:r>
          </w:p>
          <w:p>
            <w:pPr>
              <w:pStyle w:val="9"/>
              <w:rPr>
                <w:rFonts w:hint="eastAsia" w:ascii="Tahoma" w:hAnsi="Tahoma"/>
                <w:color w:val="000000"/>
                <w:sz w:val="21"/>
                <w:szCs w:val="21"/>
              </w:rPr>
            </w:pPr>
            <w:r>
              <w:rPr>
                <w:rFonts w:hint="eastAsia" w:ascii="仿宋" w:hAnsi="仿宋" w:eastAsia="仿宋" w:cs="仿宋_GB2312"/>
                <w:color w:val="000000"/>
                <w:sz w:val="21"/>
                <w:szCs w:val="21"/>
              </w:rPr>
              <w:t>其他供应商的价格分统一按照下列公式计算：价格分数=（基准价/遴选报价）×价格权值1</w:t>
            </w:r>
            <w:r>
              <w:rPr>
                <w:rFonts w:ascii="仿宋" w:hAnsi="仿宋" w:eastAsia="仿宋" w:cs="仿宋_GB2312"/>
                <w:color w:val="000000"/>
                <w:sz w:val="21"/>
                <w:szCs w:val="21"/>
              </w:rPr>
              <w:t>0%</w:t>
            </w:r>
            <w:r>
              <w:rPr>
                <w:rFonts w:hint="eastAsia" w:ascii="仿宋" w:hAnsi="仿宋" w:eastAsia="仿宋" w:cs="仿宋_GB2312"/>
                <w:color w:val="000000"/>
                <w:sz w:val="21"/>
                <w:szCs w:val="21"/>
              </w:rPr>
              <w:t>×10</w:t>
            </w:r>
            <w:r>
              <w:rPr>
                <w:rFonts w:ascii="仿宋" w:hAnsi="仿宋" w:eastAsia="仿宋" w:cs="仿宋_GB2312"/>
                <w:color w:val="000000"/>
                <w:sz w:val="21"/>
                <w:szCs w:val="21"/>
              </w:rPr>
              <w:t>0</w:t>
            </w:r>
          </w:p>
          <w:p>
            <w:pPr>
              <w:rPr>
                <w:rFonts w:hint="eastAsia" w:ascii="仿宋" w:hAnsi="仿宋" w:eastAsia="仿宋"/>
                <w:color w:val="000000"/>
                <w:szCs w:val="21"/>
              </w:rPr>
            </w:pPr>
            <w:r>
              <w:rPr>
                <w:rFonts w:hint="eastAsia" w:ascii="仿宋" w:hAnsi="仿宋" w:eastAsia="仿宋" w:cs="仿宋_GB2312"/>
                <w:color w:val="000000"/>
                <w:szCs w:val="21"/>
              </w:rPr>
              <w:t>如评审专家组认为某供应商报价明显低于其他供应商报价时，会要求其在合理的时间内提供书面说明，必要时提交相关材料。如供应商不能在指定时间证明其报价合理性的，评审专家组有权将其作为无效遴选处理。</w:t>
            </w:r>
          </w:p>
        </w:tc>
        <w:tc>
          <w:tcPr>
            <w:tcW w:w="851" w:type="dxa"/>
            <w:noWrap w:val="0"/>
            <w:vAlign w:val="center"/>
          </w:tcPr>
          <w:p>
            <w:pPr>
              <w:jc w:val="center"/>
              <w:rPr>
                <w:rFonts w:hint="default" w:ascii="仿宋" w:hAnsi="仿宋" w:eastAsia="仿宋" w:cs="仿宋_GB2312"/>
                <w:color w:val="000000"/>
                <w:szCs w:val="21"/>
                <w:lang w:val="en-US" w:eastAsia="zh-CN"/>
              </w:rPr>
            </w:pPr>
            <w:r>
              <w:rPr>
                <w:rFonts w:hint="eastAsia" w:ascii="仿宋" w:hAnsi="仿宋" w:eastAsia="仿宋" w:cs="仿宋_GB2312"/>
                <w:color w:val="00000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182" w:type="dxa"/>
            <w:vMerge w:val="restart"/>
            <w:noWrap w:val="0"/>
            <w:vAlign w:val="center"/>
          </w:tcPr>
          <w:p>
            <w:pPr>
              <w:pStyle w:val="9"/>
              <w:ind w:firstLine="0" w:firstLineChars="0"/>
              <w:rPr>
                <w:rFonts w:hint="eastAsia" w:ascii="仿宋" w:hAnsi="仿宋" w:eastAsia="仿宋"/>
                <w:b/>
                <w:bCs/>
                <w:color w:val="000000"/>
                <w:sz w:val="21"/>
                <w:szCs w:val="21"/>
              </w:rPr>
            </w:pPr>
            <w:r>
              <w:rPr>
                <w:rFonts w:hint="eastAsia" w:ascii="仿宋" w:hAnsi="仿宋" w:eastAsia="仿宋"/>
                <w:b/>
                <w:bCs/>
                <w:color w:val="000000"/>
                <w:sz w:val="21"/>
                <w:szCs w:val="21"/>
              </w:rPr>
              <w:t>单位条件（25分）</w:t>
            </w:r>
          </w:p>
        </w:tc>
        <w:tc>
          <w:tcPr>
            <w:tcW w:w="1191" w:type="dxa"/>
            <w:noWrap w:val="0"/>
            <w:vAlign w:val="center"/>
          </w:tcPr>
          <w:p>
            <w:pPr>
              <w:pStyle w:val="9"/>
              <w:ind w:firstLine="0" w:firstLineChars="0"/>
              <w:jc w:val="center"/>
              <w:rPr>
                <w:rFonts w:ascii="仿宋" w:hAnsi="仿宋" w:eastAsia="仿宋" w:cs="仿宋_GB2312"/>
                <w:b/>
                <w:bCs/>
                <w:color w:val="000000"/>
                <w:sz w:val="21"/>
                <w:szCs w:val="21"/>
              </w:rPr>
            </w:pPr>
            <w:r>
              <w:rPr>
                <w:rFonts w:hint="eastAsia" w:ascii="仿宋" w:hAnsi="仿宋" w:eastAsia="仿宋" w:cs="仿宋_GB2312"/>
                <w:b/>
                <w:bCs/>
                <w:color w:val="000000"/>
                <w:sz w:val="21"/>
                <w:szCs w:val="21"/>
              </w:rPr>
              <w:t>单位资质</w:t>
            </w:r>
          </w:p>
          <w:p>
            <w:pPr>
              <w:pStyle w:val="9"/>
              <w:ind w:firstLine="0" w:firstLineChars="0"/>
              <w:jc w:val="center"/>
              <w:rPr>
                <w:rFonts w:hint="eastAsia" w:ascii="仿宋" w:hAnsi="仿宋" w:eastAsia="仿宋"/>
                <w:b/>
                <w:bCs/>
                <w:color w:val="000000"/>
                <w:sz w:val="21"/>
                <w:szCs w:val="21"/>
              </w:rPr>
            </w:pPr>
            <w:r>
              <w:rPr>
                <w:rFonts w:hint="eastAsia" w:ascii="仿宋" w:hAnsi="仿宋" w:eastAsia="仿宋"/>
                <w:b/>
                <w:bCs/>
                <w:color w:val="000000"/>
                <w:sz w:val="21"/>
                <w:szCs w:val="21"/>
              </w:rPr>
              <w:t>（10分）</w:t>
            </w:r>
          </w:p>
        </w:tc>
        <w:tc>
          <w:tcPr>
            <w:tcW w:w="5106" w:type="dxa"/>
            <w:noWrap w:val="0"/>
            <w:vAlign w:val="center"/>
          </w:tcPr>
          <w:p/>
          <w:p>
            <w:pPr>
              <w:pStyle w:val="9"/>
              <w:ind w:firstLine="0" w:firstLineChars="0"/>
              <w:rPr>
                <w:rFonts w:hint="eastAsia" w:ascii="仿宋" w:hAnsi="仿宋" w:eastAsia="仿宋"/>
                <w:color w:val="000000"/>
                <w:sz w:val="21"/>
                <w:szCs w:val="21"/>
              </w:rPr>
            </w:pPr>
            <w:r>
              <w:rPr>
                <w:rFonts w:hint="eastAsia" w:ascii="仿宋" w:hAnsi="仿宋" w:eastAsia="仿宋"/>
                <w:color w:val="000000"/>
                <w:sz w:val="21"/>
                <w:szCs w:val="21"/>
              </w:rPr>
              <w:t>根据招标文件的需求和投标文件响应情况进行横向比较，分档评分：供应商资质优秀8</w:t>
            </w:r>
            <w:r>
              <w:rPr>
                <w:rFonts w:ascii="仿宋" w:hAnsi="仿宋" w:eastAsia="仿宋"/>
                <w:color w:val="000000"/>
                <w:sz w:val="21"/>
                <w:szCs w:val="21"/>
              </w:rPr>
              <w:t>-10</w:t>
            </w:r>
            <w:r>
              <w:rPr>
                <w:rFonts w:hint="eastAsia" w:ascii="仿宋" w:hAnsi="仿宋" w:eastAsia="仿宋"/>
                <w:color w:val="000000"/>
                <w:sz w:val="21"/>
                <w:szCs w:val="21"/>
              </w:rPr>
              <w:t>分，资质良好5</w:t>
            </w:r>
            <w:r>
              <w:rPr>
                <w:rFonts w:ascii="仿宋" w:hAnsi="仿宋" w:eastAsia="仿宋"/>
                <w:color w:val="000000"/>
                <w:sz w:val="21"/>
                <w:szCs w:val="21"/>
              </w:rPr>
              <w:t>-7</w:t>
            </w:r>
            <w:r>
              <w:rPr>
                <w:rFonts w:hint="eastAsia" w:ascii="仿宋" w:hAnsi="仿宋" w:eastAsia="仿宋"/>
                <w:color w:val="000000"/>
                <w:sz w:val="21"/>
                <w:szCs w:val="21"/>
              </w:rPr>
              <w:t>分，一般1</w:t>
            </w:r>
            <w:r>
              <w:rPr>
                <w:rFonts w:ascii="仿宋" w:hAnsi="仿宋" w:eastAsia="仿宋"/>
                <w:color w:val="000000"/>
                <w:sz w:val="21"/>
                <w:szCs w:val="21"/>
              </w:rPr>
              <w:t>-4</w:t>
            </w:r>
            <w:r>
              <w:rPr>
                <w:rFonts w:hint="eastAsia" w:ascii="仿宋" w:hAnsi="仿宋" w:eastAsia="仿宋"/>
                <w:color w:val="000000"/>
                <w:sz w:val="21"/>
                <w:szCs w:val="21"/>
              </w:rPr>
              <w:t>分。</w:t>
            </w:r>
          </w:p>
        </w:tc>
        <w:tc>
          <w:tcPr>
            <w:tcW w:w="851" w:type="dxa"/>
            <w:noWrap w:val="0"/>
            <w:vAlign w:val="center"/>
          </w:tcPr>
          <w:p>
            <w:pPr>
              <w:jc w:val="center"/>
              <w:rPr>
                <w:rFonts w:hint="default" w:ascii="仿宋" w:hAnsi="仿宋" w:eastAsia="仿宋" w:cs="仿宋_GB2312"/>
                <w:color w:val="000000"/>
                <w:szCs w:val="21"/>
                <w:lang w:val="en-US" w:eastAsia="zh-CN"/>
              </w:rPr>
            </w:pPr>
            <w:r>
              <w:rPr>
                <w:rFonts w:hint="eastAsia" w:ascii="仿宋" w:hAnsi="仿宋" w:eastAsia="仿宋" w:cs="仿宋_GB2312"/>
                <w:color w:val="00000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Merge w:val="continue"/>
            <w:noWrap w:val="0"/>
            <w:vAlign w:val="top"/>
          </w:tcPr>
          <w:p>
            <w:pPr>
              <w:pStyle w:val="9"/>
              <w:ind w:firstLine="0" w:firstLineChars="0"/>
              <w:rPr>
                <w:rFonts w:hint="eastAsia" w:ascii="仿宋" w:hAnsi="仿宋" w:eastAsia="仿宋"/>
                <w:b/>
                <w:bCs/>
                <w:color w:val="000000"/>
                <w:sz w:val="21"/>
                <w:szCs w:val="21"/>
              </w:rPr>
            </w:pPr>
          </w:p>
        </w:tc>
        <w:tc>
          <w:tcPr>
            <w:tcW w:w="1191" w:type="dxa"/>
            <w:noWrap w:val="0"/>
            <w:vAlign w:val="center"/>
          </w:tcPr>
          <w:p>
            <w:pPr>
              <w:pStyle w:val="9"/>
              <w:ind w:firstLine="0" w:firstLineChars="0"/>
              <w:jc w:val="center"/>
              <w:rPr>
                <w:rFonts w:ascii="仿宋" w:hAnsi="仿宋" w:eastAsia="仿宋"/>
                <w:b/>
                <w:bCs/>
                <w:color w:val="000000"/>
                <w:sz w:val="21"/>
                <w:szCs w:val="21"/>
              </w:rPr>
            </w:pPr>
            <w:r>
              <w:rPr>
                <w:rFonts w:hint="eastAsia" w:ascii="仿宋" w:hAnsi="仿宋" w:eastAsia="仿宋"/>
                <w:b/>
                <w:bCs/>
                <w:color w:val="000000"/>
                <w:sz w:val="21"/>
                <w:szCs w:val="21"/>
              </w:rPr>
              <w:t>经验能力</w:t>
            </w:r>
          </w:p>
          <w:p>
            <w:pPr>
              <w:pStyle w:val="9"/>
              <w:ind w:firstLine="0" w:firstLineChars="0"/>
              <w:jc w:val="center"/>
              <w:rPr>
                <w:rFonts w:hint="eastAsia" w:ascii="仿宋" w:hAnsi="仿宋" w:eastAsia="仿宋"/>
                <w:b/>
                <w:bCs/>
                <w:color w:val="000000"/>
                <w:sz w:val="21"/>
                <w:szCs w:val="21"/>
              </w:rPr>
            </w:pPr>
            <w:r>
              <w:rPr>
                <w:rFonts w:hint="eastAsia" w:ascii="仿宋" w:hAnsi="仿宋" w:eastAsia="仿宋"/>
                <w:b/>
                <w:bCs/>
                <w:color w:val="000000"/>
                <w:sz w:val="21"/>
                <w:szCs w:val="21"/>
              </w:rPr>
              <w:t>（1</w:t>
            </w:r>
            <w:r>
              <w:rPr>
                <w:rFonts w:ascii="仿宋" w:hAnsi="仿宋" w:eastAsia="仿宋"/>
                <w:b/>
                <w:bCs/>
                <w:color w:val="000000"/>
                <w:sz w:val="21"/>
                <w:szCs w:val="21"/>
              </w:rPr>
              <w:t>5</w:t>
            </w:r>
            <w:r>
              <w:rPr>
                <w:rFonts w:hint="eastAsia" w:ascii="仿宋" w:hAnsi="仿宋" w:eastAsia="仿宋"/>
                <w:b/>
                <w:bCs/>
                <w:color w:val="000000"/>
                <w:sz w:val="21"/>
                <w:szCs w:val="21"/>
              </w:rPr>
              <w:t>分）</w:t>
            </w:r>
          </w:p>
        </w:tc>
        <w:tc>
          <w:tcPr>
            <w:tcW w:w="5106" w:type="dxa"/>
            <w:noWrap w:val="0"/>
            <w:vAlign w:val="center"/>
          </w:tcPr>
          <w:p>
            <w:pPr>
              <w:rPr>
                <w:rFonts w:hint="eastAsia" w:ascii="仿宋" w:hAnsi="仿宋" w:eastAsia="仿宋" w:cs="仿宋_GB2312"/>
                <w:color w:val="000000"/>
                <w:kern w:val="0"/>
                <w:szCs w:val="21"/>
              </w:rPr>
            </w:pPr>
            <w:r>
              <w:rPr>
                <w:rFonts w:hint="eastAsia" w:ascii="仿宋" w:hAnsi="仿宋" w:eastAsia="仿宋" w:cs="仿宋_GB2312"/>
                <w:color w:val="000000"/>
                <w:kern w:val="0"/>
                <w:szCs w:val="21"/>
              </w:rPr>
              <w:t>在过去3年（2</w:t>
            </w:r>
            <w:r>
              <w:rPr>
                <w:rFonts w:ascii="仿宋" w:hAnsi="仿宋" w:eastAsia="仿宋" w:cs="仿宋_GB2312"/>
                <w:color w:val="000000"/>
                <w:kern w:val="0"/>
                <w:szCs w:val="21"/>
              </w:rPr>
              <w:t>019</w:t>
            </w:r>
            <w:r>
              <w:rPr>
                <w:rFonts w:hint="eastAsia" w:ascii="仿宋" w:hAnsi="仿宋" w:eastAsia="仿宋" w:cs="仿宋_GB2312"/>
                <w:color w:val="000000"/>
                <w:kern w:val="0"/>
                <w:szCs w:val="21"/>
              </w:rPr>
              <w:t xml:space="preserve">年1月始）曾承担/主办护理或健康照护相关培训项目。（需要提供证明材料） </w:t>
            </w:r>
          </w:p>
          <w:p>
            <w:pPr>
              <w:rPr>
                <w:rFonts w:hint="eastAsia" w:ascii="仿宋" w:hAnsi="仿宋" w:eastAsia="仿宋" w:cs="仿宋_GB2312"/>
                <w:color w:val="000000"/>
                <w:kern w:val="0"/>
                <w:szCs w:val="21"/>
              </w:rPr>
            </w:pPr>
            <w:r>
              <w:rPr>
                <w:rFonts w:hint="eastAsia" w:ascii="仿宋" w:hAnsi="仿宋" w:eastAsia="仿宋" w:cs="仿宋_GB2312"/>
                <w:color w:val="000000"/>
                <w:kern w:val="0"/>
                <w:szCs w:val="21"/>
              </w:rPr>
              <w:t>根据培训项目级别、水平和社会效应进行酌情评价。国家层面培训5分/每个，市级层面培训3分/每个，本单位层面培训1分/每个，最高1</w:t>
            </w:r>
            <w:r>
              <w:rPr>
                <w:rFonts w:ascii="仿宋" w:hAnsi="仿宋" w:eastAsia="仿宋" w:cs="仿宋_GB2312"/>
                <w:color w:val="000000"/>
                <w:kern w:val="0"/>
                <w:szCs w:val="21"/>
              </w:rPr>
              <w:t>5</w:t>
            </w:r>
            <w:r>
              <w:rPr>
                <w:rFonts w:hint="eastAsia" w:ascii="仿宋" w:hAnsi="仿宋" w:eastAsia="仿宋" w:cs="仿宋_GB2312"/>
                <w:color w:val="000000"/>
                <w:kern w:val="0"/>
                <w:szCs w:val="21"/>
              </w:rPr>
              <w:t xml:space="preserve">分。 </w:t>
            </w:r>
            <w:r>
              <w:rPr>
                <w:rFonts w:ascii="仿宋" w:hAnsi="仿宋" w:eastAsia="仿宋" w:cs="仿宋_GB2312"/>
                <w:color w:val="000000"/>
                <w:kern w:val="0"/>
                <w:szCs w:val="21"/>
              </w:rPr>
              <w:t xml:space="preserve"> </w:t>
            </w:r>
          </w:p>
        </w:tc>
        <w:tc>
          <w:tcPr>
            <w:tcW w:w="851" w:type="dxa"/>
            <w:noWrap w:val="0"/>
            <w:vAlign w:val="center"/>
          </w:tcPr>
          <w:p>
            <w:pPr>
              <w:jc w:val="center"/>
              <w:rPr>
                <w:rFonts w:hint="default" w:ascii="仿宋" w:hAnsi="仿宋" w:eastAsia="仿宋" w:cs="仿宋_GB2312"/>
                <w:color w:val="000000"/>
                <w:szCs w:val="21"/>
                <w:lang w:val="en-US" w:eastAsia="zh-CN"/>
              </w:rPr>
            </w:pPr>
            <w:r>
              <w:rPr>
                <w:rFonts w:hint="eastAsia" w:ascii="仿宋" w:hAnsi="仿宋" w:eastAsia="仿宋" w:cs="仿宋_GB2312"/>
                <w:color w:val="000000"/>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Merge w:val="restart"/>
            <w:noWrap w:val="0"/>
            <w:vAlign w:val="top"/>
          </w:tcPr>
          <w:p>
            <w:pPr>
              <w:pStyle w:val="9"/>
              <w:ind w:firstLine="422"/>
              <w:rPr>
                <w:rFonts w:ascii="仿宋" w:hAnsi="仿宋" w:eastAsia="仿宋"/>
                <w:b/>
                <w:bCs/>
                <w:color w:val="000000"/>
                <w:sz w:val="21"/>
                <w:szCs w:val="21"/>
              </w:rPr>
            </w:pPr>
          </w:p>
          <w:p>
            <w:pPr>
              <w:pStyle w:val="9"/>
              <w:ind w:firstLine="422"/>
              <w:rPr>
                <w:rFonts w:ascii="仿宋" w:hAnsi="仿宋" w:eastAsia="仿宋"/>
                <w:b/>
                <w:bCs/>
                <w:color w:val="000000"/>
                <w:sz w:val="21"/>
                <w:szCs w:val="21"/>
              </w:rPr>
            </w:pPr>
          </w:p>
          <w:p>
            <w:pPr>
              <w:pStyle w:val="9"/>
              <w:ind w:left="1" w:hanging="1" w:firstLineChars="0"/>
              <w:rPr>
                <w:rFonts w:hint="eastAsia" w:ascii="仿宋" w:hAnsi="仿宋" w:eastAsia="仿宋"/>
                <w:b/>
                <w:bCs/>
                <w:color w:val="000000"/>
                <w:sz w:val="21"/>
                <w:szCs w:val="21"/>
              </w:rPr>
            </w:pPr>
            <w:r>
              <w:rPr>
                <w:rFonts w:hint="eastAsia" w:ascii="仿宋" w:hAnsi="仿宋" w:eastAsia="仿宋"/>
                <w:b/>
                <w:bCs/>
                <w:color w:val="000000"/>
                <w:sz w:val="21"/>
                <w:szCs w:val="21"/>
              </w:rPr>
              <w:t>业务计划（65分）</w:t>
            </w:r>
          </w:p>
        </w:tc>
        <w:tc>
          <w:tcPr>
            <w:tcW w:w="1191" w:type="dxa"/>
            <w:noWrap w:val="0"/>
            <w:vAlign w:val="center"/>
          </w:tcPr>
          <w:p>
            <w:pPr>
              <w:pStyle w:val="9"/>
              <w:ind w:firstLine="0" w:firstLineChars="0"/>
              <w:rPr>
                <w:rFonts w:ascii="仿宋" w:hAnsi="仿宋" w:eastAsia="仿宋"/>
                <w:b/>
                <w:bCs/>
                <w:color w:val="000000"/>
                <w:sz w:val="21"/>
                <w:szCs w:val="21"/>
              </w:rPr>
            </w:pPr>
            <w:r>
              <w:rPr>
                <w:rFonts w:hint="eastAsia" w:ascii="仿宋" w:hAnsi="仿宋" w:eastAsia="仿宋"/>
                <w:b/>
                <w:bCs/>
                <w:color w:val="000000"/>
                <w:sz w:val="21"/>
                <w:szCs w:val="21"/>
              </w:rPr>
              <w:t>培训方案</w:t>
            </w:r>
          </w:p>
          <w:p>
            <w:pPr>
              <w:pStyle w:val="9"/>
              <w:ind w:firstLine="0" w:firstLineChars="0"/>
              <w:rPr>
                <w:rFonts w:hint="eastAsia" w:ascii="仿宋" w:hAnsi="仿宋" w:eastAsia="仿宋"/>
                <w:b/>
                <w:bCs/>
                <w:color w:val="000000"/>
                <w:sz w:val="21"/>
                <w:szCs w:val="21"/>
              </w:rPr>
            </w:pPr>
            <w:r>
              <w:rPr>
                <w:rFonts w:hint="eastAsia" w:ascii="仿宋" w:hAnsi="仿宋" w:eastAsia="仿宋"/>
                <w:b/>
                <w:bCs/>
                <w:color w:val="000000"/>
                <w:sz w:val="21"/>
                <w:szCs w:val="21"/>
              </w:rPr>
              <w:t>（</w:t>
            </w:r>
            <w:r>
              <w:rPr>
                <w:rFonts w:ascii="仿宋" w:hAnsi="仿宋" w:eastAsia="仿宋"/>
                <w:b/>
                <w:bCs/>
                <w:color w:val="000000"/>
                <w:sz w:val="21"/>
                <w:szCs w:val="21"/>
              </w:rPr>
              <w:t>25</w:t>
            </w:r>
            <w:r>
              <w:rPr>
                <w:rFonts w:hint="eastAsia" w:ascii="仿宋" w:hAnsi="仿宋" w:eastAsia="仿宋"/>
                <w:b/>
                <w:bCs/>
                <w:color w:val="000000"/>
                <w:sz w:val="21"/>
                <w:szCs w:val="21"/>
              </w:rPr>
              <w:t>分）</w:t>
            </w:r>
          </w:p>
        </w:tc>
        <w:tc>
          <w:tcPr>
            <w:tcW w:w="5106" w:type="dxa"/>
            <w:noWrap w:val="0"/>
            <w:vAlign w:val="center"/>
          </w:tcPr>
          <w:p>
            <w:pPr>
              <w:rPr>
                <w:rFonts w:ascii="仿宋" w:hAnsi="仿宋" w:eastAsia="仿宋" w:cs="仿宋_GB2312"/>
                <w:color w:val="000000"/>
                <w:szCs w:val="21"/>
              </w:rPr>
            </w:pPr>
            <w:r>
              <w:rPr>
                <w:rFonts w:hint="eastAsia" w:ascii="仿宋" w:hAnsi="仿宋" w:eastAsia="仿宋" w:cs="仿宋_GB2312"/>
                <w:color w:val="000000"/>
                <w:szCs w:val="21"/>
              </w:rPr>
              <w:t>项目方案科学合理性强、内容详细全面，可行性强,得</w:t>
            </w:r>
            <w:r>
              <w:rPr>
                <w:rFonts w:ascii="仿宋" w:hAnsi="仿宋" w:eastAsia="仿宋" w:cs="仿宋_GB2312"/>
                <w:color w:val="000000"/>
                <w:szCs w:val="21"/>
              </w:rPr>
              <w:t>20-25</w:t>
            </w:r>
            <w:r>
              <w:rPr>
                <w:rFonts w:hint="eastAsia" w:ascii="仿宋" w:hAnsi="仿宋" w:eastAsia="仿宋" w:cs="仿宋_GB2312"/>
                <w:color w:val="000000"/>
                <w:szCs w:val="21"/>
              </w:rPr>
              <w:t>分；</w:t>
            </w:r>
          </w:p>
          <w:p>
            <w:pPr>
              <w:rPr>
                <w:rFonts w:ascii="仿宋" w:hAnsi="仿宋" w:eastAsia="仿宋" w:cs="仿宋_GB2312"/>
                <w:color w:val="000000"/>
                <w:szCs w:val="21"/>
              </w:rPr>
            </w:pPr>
            <w:r>
              <w:rPr>
                <w:rFonts w:hint="eastAsia" w:ascii="仿宋" w:hAnsi="仿宋" w:eastAsia="仿宋" w:cs="仿宋_GB2312"/>
                <w:color w:val="000000"/>
                <w:szCs w:val="21"/>
              </w:rPr>
              <w:t>项目方案科学合理性较强、内容较为详细全面，可行性较好,得</w:t>
            </w:r>
            <w:r>
              <w:rPr>
                <w:rFonts w:ascii="仿宋" w:hAnsi="仿宋" w:eastAsia="仿宋" w:cs="仿宋_GB2312"/>
                <w:color w:val="000000"/>
                <w:szCs w:val="21"/>
              </w:rPr>
              <w:t>14-19</w:t>
            </w:r>
            <w:r>
              <w:rPr>
                <w:rFonts w:hint="eastAsia" w:ascii="仿宋" w:hAnsi="仿宋" w:eastAsia="仿宋" w:cs="仿宋_GB2312"/>
                <w:color w:val="000000"/>
                <w:szCs w:val="21"/>
              </w:rPr>
              <w:t>分；</w:t>
            </w:r>
          </w:p>
          <w:p>
            <w:pPr>
              <w:rPr>
                <w:rFonts w:ascii="仿宋" w:hAnsi="仿宋" w:eastAsia="仿宋" w:cs="仿宋_GB2312"/>
                <w:color w:val="000000"/>
                <w:szCs w:val="21"/>
              </w:rPr>
            </w:pPr>
            <w:r>
              <w:rPr>
                <w:rFonts w:hint="eastAsia" w:ascii="仿宋" w:hAnsi="仿宋" w:eastAsia="仿宋" w:cs="仿宋_GB2312"/>
                <w:color w:val="000000"/>
                <w:szCs w:val="21"/>
              </w:rPr>
              <w:t>项目方案科学合理、内容一般，有可行性,得</w:t>
            </w:r>
            <w:r>
              <w:rPr>
                <w:rFonts w:ascii="仿宋" w:hAnsi="仿宋" w:eastAsia="仿宋" w:cs="仿宋_GB2312"/>
                <w:color w:val="000000"/>
                <w:szCs w:val="21"/>
              </w:rPr>
              <w:t>8-13</w:t>
            </w:r>
            <w:r>
              <w:rPr>
                <w:rFonts w:hint="eastAsia" w:ascii="仿宋" w:hAnsi="仿宋" w:eastAsia="仿宋" w:cs="仿宋_GB2312"/>
                <w:color w:val="000000"/>
                <w:szCs w:val="21"/>
              </w:rPr>
              <w:t>分；</w:t>
            </w:r>
          </w:p>
          <w:p>
            <w:pPr>
              <w:rPr>
                <w:rFonts w:hint="eastAsia" w:ascii="仿宋" w:hAnsi="仿宋" w:eastAsia="仿宋" w:cs="仿宋_GB2312"/>
                <w:color w:val="000000"/>
                <w:szCs w:val="21"/>
              </w:rPr>
            </w:pPr>
            <w:r>
              <w:rPr>
                <w:rFonts w:hint="eastAsia" w:ascii="仿宋" w:hAnsi="仿宋" w:eastAsia="仿宋" w:cs="仿宋_GB2312"/>
                <w:color w:val="000000"/>
                <w:szCs w:val="21"/>
              </w:rPr>
              <w:t>项目方案科学合理较差、内容不充实，可行性差,得</w:t>
            </w:r>
            <w:r>
              <w:rPr>
                <w:rFonts w:ascii="仿宋" w:hAnsi="仿宋" w:eastAsia="仿宋" w:cs="仿宋_GB2312"/>
                <w:color w:val="000000"/>
                <w:szCs w:val="21"/>
              </w:rPr>
              <w:t>0-7</w:t>
            </w:r>
            <w:r>
              <w:rPr>
                <w:rFonts w:hint="eastAsia" w:ascii="仿宋" w:hAnsi="仿宋" w:eastAsia="仿宋" w:cs="仿宋_GB2312"/>
                <w:color w:val="000000"/>
                <w:szCs w:val="21"/>
              </w:rPr>
              <w:t>分。</w:t>
            </w:r>
          </w:p>
        </w:tc>
        <w:tc>
          <w:tcPr>
            <w:tcW w:w="851" w:type="dxa"/>
            <w:noWrap w:val="0"/>
            <w:vAlign w:val="center"/>
          </w:tcPr>
          <w:p>
            <w:pPr>
              <w:pStyle w:val="9"/>
              <w:ind w:firstLine="0" w:firstLineChars="0"/>
              <w:jc w:val="center"/>
              <w:rPr>
                <w:rFonts w:hint="default" w:ascii="仿宋" w:hAnsi="仿宋" w:eastAsia="仿宋" w:cs="仿宋_GB2312"/>
                <w:color w:val="000000"/>
                <w:sz w:val="21"/>
                <w:szCs w:val="21"/>
                <w:lang w:val="en-US" w:eastAsia="zh-CN"/>
              </w:rPr>
            </w:pPr>
            <w:r>
              <w:rPr>
                <w:rFonts w:hint="eastAsia" w:ascii="仿宋" w:hAnsi="仿宋" w:eastAsia="仿宋" w:cs="仿宋_GB2312"/>
                <w:color w:val="000000"/>
                <w:sz w:val="21"/>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Merge w:val="continue"/>
            <w:noWrap w:val="0"/>
            <w:vAlign w:val="top"/>
          </w:tcPr>
          <w:p>
            <w:pPr>
              <w:pStyle w:val="9"/>
              <w:ind w:firstLine="422"/>
              <w:rPr>
                <w:rFonts w:ascii="仿宋" w:hAnsi="仿宋" w:eastAsia="仿宋"/>
                <w:b/>
                <w:bCs/>
                <w:color w:val="000000"/>
                <w:sz w:val="21"/>
                <w:szCs w:val="21"/>
              </w:rPr>
            </w:pPr>
          </w:p>
        </w:tc>
        <w:tc>
          <w:tcPr>
            <w:tcW w:w="1191" w:type="dxa"/>
            <w:noWrap w:val="0"/>
            <w:vAlign w:val="center"/>
          </w:tcPr>
          <w:p>
            <w:pPr>
              <w:pStyle w:val="9"/>
              <w:ind w:firstLine="0" w:firstLineChars="0"/>
              <w:jc w:val="center"/>
              <w:rPr>
                <w:rFonts w:ascii="仿宋" w:hAnsi="仿宋" w:eastAsia="仿宋"/>
                <w:b/>
                <w:bCs/>
                <w:color w:val="000000"/>
                <w:sz w:val="21"/>
                <w:szCs w:val="21"/>
              </w:rPr>
            </w:pPr>
            <w:r>
              <w:rPr>
                <w:rFonts w:hint="eastAsia" w:ascii="仿宋" w:hAnsi="仿宋" w:eastAsia="仿宋"/>
                <w:b/>
                <w:bCs/>
                <w:color w:val="000000"/>
                <w:sz w:val="21"/>
                <w:szCs w:val="21"/>
              </w:rPr>
              <w:t>培训师资</w:t>
            </w:r>
          </w:p>
          <w:p>
            <w:pPr>
              <w:pStyle w:val="9"/>
              <w:ind w:firstLine="0" w:firstLineChars="0"/>
              <w:jc w:val="center"/>
              <w:rPr>
                <w:rFonts w:hint="eastAsia" w:ascii="仿宋" w:hAnsi="仿宋" w:eastAsia="仿宋"/>
                <w:b/>
                <w:bCs/>
                <w:color w:val="000000"/>
                <w:sz w:val="21"/>
                <w:szCs w:val="21"/>
              </w:rPr>
            </w:pPr>
            <w:r>
              <w:rPr>
                <w:rFonts w:hint="eastAsia" w:ascii="仿宋" w:hAnsi="仿宋" w:eastAsia="仿宋"/>
                <w:b/>
                <w:bCs/>
                <w:color w:val="000000"/>
                <w:sz w:val="21"/>
                <w:szCs w:val="21"/>
              </w:rPr>
              <w:t>（10分）</w:t>
            </w:r>
          </w:p>
        </w:tc>
        <w:tc>
          <w:tcPr>
            <w:tcW w:w="5106" w:type="dxa"/>
            <w:noWrap w:val="0"/>
            <w:vAlign w:val="center"/>
          </w:tcPr>
          <w:p>
            <w:pPr>
              <w:rPr>
                <w:rFonts w:hint="eastAsia" w:ascii="仿宋" w:hAnsi="仿宋" w:eastAsia="仿宋"/>
                <w:color w:val="000000"/>
                <w:szCs w:val="21"/>
              </w:rPr>
            </w:pPr>
            <w:r>
              <w:rPr>
                <w:rFonts w:hint="eastAsia" w:ascii="仿宋" w:hAnsi="仿宋" w:eastAsia="仿宋"/>
                <w:color w:val="000000"/>
                <w:szCs w:val="21"/>
              </w:rPr>
              <w:t>授课师资中，高校知名教授/副教授、副主任护师/主任护师/专科护士、老年健康照护相关专家所占比例不低于</w:t>
            </w:r>
            <w:r>
              <w:rPr>
                <w:rFonts w:hint="eastAsia" w:ascii="仿宋" w:hAnsi="仿宋" w:eastAsia="仿宋"/>
                <w:color w:val="000000"/>
                <w:szCs w:val="21"/>
                <w:lang w:val="en-US" w:eastAsia="zh-CN"/>
              </w:rPr>
              <w:t>60</w:t>
            </w:r>
            <w:r>
              <w:rPr>
                <w:rFonts w:hint="eastAsia" w:ascii="仿宋" w:hAnsi="仿宋" w:eastAsia="仿宋"/>
                <w:color w:val="000000"/>
                <w:szCs w:val="21"/>
              </w:rPr>
              <w:t>％，授课教师需熟悉老年健康政策、临床护理、老年健康照护相关内容或医疗项目运营等相关内容，具备较好的理论知识和技能，具备熟练的授课经验，且沟通能力及表达能力俱佳。</w:t>
            </w:r>
          </w:p>
          <w:p>
            <w:pPr>
              <w:rPr>
                <w:rFonts w:hint="eastAsia" w:ascii="仿宋" w:hAnsi="仿宋" w:eastAsia="仿宋" w:cs="仿宋_GB2312"/>
                <w:color w:val="000000"/>
                <w:szCs w:val="21"/>
              </w:rPr>
            </w:pPr>
            <w:r>
              <w:rPr>
                <w:rFonts w:hint="eastAsia" w:ascii="仿宋" w:hAnsi="仿宋" w:eastAsia="仿宋"/>
                <w:color w:val="000000"/>
                <w:szCs w:val="21"/>
              </w:rPr>
              <w:t>师资符合要求且水平较高者计</w:t>
            </w:r>
            <w:r>
              <w:rPr>
                <w:rFonts w:ascii="仿宋" w:hAnsi="仿宋" w:eastAsia="仿宋"/>
                <w:color w:val="000000"/>
                <w:szCs w:val="21"/>
              </w:rPr>
              <w:t>7-10</w:t>
            </w:r>
            <w:r>
              <w:rPr>
                <w:rFonts w:hint="eastAsia" w:ascii="仿宋" w:hAnsi="仿宋" w:eastAsia="仿宋"/>
                <w:color w:val="000000"/>
                <w:szCs w:val="21"/>
              </w:rPr>
              <w:t>分；师资部分符合要求计</w:t>
            </w:r>
            <w:r>
              <w:rPr>
                <w:rFonts w:ascii="仿宋" w:hAnsi="仿宋" w:eastAsia="仿宋"/>
                <w:color w:val="000000"/>
                <w:szCs w:val="21"/>
              </w:rPr>
              <w:t>3-6</w:t>
            </w:r>
            <w:r>
              <w:rPr>
                <w:rFonts w:hint="eastAsia" w:ascii="仿宋" w:hAnsi="仿宋" w:eastAsia="仿宋"/>
                <w:color w:val="000000"/>
                <w:szCs w:val="21"/>
              </w:rPr>
              <w:t>分；师资不符合要求者计0</w:t>
            </w:r>
            <w:r>
              <w:rPr>
                <w:rFonts w:ascii="仿宋" w:hAnsi="仿宋" w:eastAsia="仿宋"/>
                <w:color w:val="000000"/>
                <w:szCs w:val="21"/>
              </w:rPr>
              <w:t>-3</w:t>
            </w:r>
            <w:r>
              <w:rPr>
                <w:rFonts w:hint="eastAsia" w:ascii="仿宋" w:hAnsi="仿宋" w:eastAsia="仿宋"/>
                <w:color w:val="000000"/>
                <w:szCs w:val="21"/>
              </w:rPr>
              <w:t>分。</w:t>
            </w:r>
          </w:p>
        </w:tc>
        <w:tc>
          <w:tcPr>
            <w:tcW w:w="851" w:type="dxa"/>
            <w:noWrap w:val="0"/>
            <w:vAlign w:val="center"/>
          </w:tcPr>
          <w:p>
            <w:pPr>
              <w:jc w:val="center"/>
              <w:rPr>
                <w:rFonts w:hint="default" w:ascii="仿宋" w:hAnsi="仿宋" w:eastAsia="仿宋" w:cs="仿宋_GB2312"/>
                <w:color w:val="000000"/>
                <w:szCs w:val="21"/>
                <w:lang w:val="en-US" w:eastAsia="zh-CN"/>
              </w:rPr>
            </w:pPr>
            <w:r>
              <w:rPr>
                <w:rFonts w:hint="eastAsia" w:ascii="仿宋" w:hAnsi="仿宋" w:eastAsia="仿宋" w:cs="仿宋_GB2312"/>
                <w:color w:val="00000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0" w:hRule="atLeast"/>
        </w:trPr>
        <w:tc>
          <w:tcPr>
            <w:tcW w:w="1182" w:type="dxa"/>
            <w:vMerge w:val="continue"/>
            <w:noWrap w:val="0"/>
            <w:vAlign w:val="top"/>
          </w:tcPr>
          <w:p>
            <w:pPr>
              <w:pStyle w:val="9"/>
              <w:ind w:firstLine="0" w:firstLineChars="0"/>
              <w:rPr>
                <w:rFonts w:hint="eastAsia" w:ascii="仿宋" w:hAnsi="仿宋" w:eastAsia="仿宋"/>
                <w:b/>
                <w:bCs/>
                <w:color w:val="000000"/>
                <w:sz w:val="21"/>
                <w:szCs w:val="21"/>
              </w:rPr>
            </w:pPr>
          </w:p>
        </w:tc>
        <w:tc>
          <w:tcPr>
            <w:tcW w:w="1191" w:type="dxa"/>
            <w:noWrap w:val="0"/>
            <w:vAlign w:val="center"/>
          </w:tcPr>
          <w:p>
            <w:pPr>
              <w:pStyle w:val="9"/>
              <w:ind w:firstLine="0" w:firstLineChars="0"/>
              <w:jc w:val="center"/>
              <w:rPr>
                <w:rFonts w:ascii="仿宋" w:hAnsi="仿宋" w:eastAsia="仿宋"/>
                <w:b/>
                <w:bCs/>
                <w:color w:val="000000"/>
                <w:sz w:val="21"/>
                <w:szCs w:val="21"/>
              </w:rPr>
            </w:pPr>
            <w:r>
              <w:rPr>
                <w:rFonts w:hint="eastAsia" w:ascii="仿宋" w:hAnsi="仿宋" w:eastAsia="仿宋"/>
                <w:b/>
                <w:bCs/>
                <w:color w:val="000000"/>
                <w:sz w:val="21"/>
                <w:szCs w:val="21"/>
              </w:rPr>
              <w:t>组织管理</w:t>
            </w:r>
          </w:p>
          <w:p>
            <w:pPr>
              <w:pStyle w:val="9"/>
              <w:ind w:firstLine="0" w:firstLineChars="0"/>
              <w:jc w:val="center"/>
              <w:rPr>
                <w:rFonts w:hint="eastAsia" w:ascii="仿宋" w:hAnsi="仿宋" w:eastAsia="仿宋"/>
                <w:b/>
                <w:bCs/>
                <w:color w:val="000000"/>
                <w:sz w:val="21"/>
                <w:szCs w:val="21"/>
              </w:rPr>
            </w:pPr>
            <w:r>
              <w:rPr>
                <w:rFonts w:hint="eastAsia" w:ascii="仿宋" w:hAnsi="仿宋" w:eastAsia="仿宋"/>
                <w:b/>
                <w:bCs/>
                <w:color w:val="000000"/>
                <w:sz w:val="21"/>
                <w:szCs w:val="21"/>
              </w:rPr>
              <w:t>（10分）</w:t>
            </w:r>
          </w:p>
        </w:tc>
        <w:tc>
          <w:tcPr>
            <w:tcW w:w="5106" w:type="dxa"/>
            <w:noWrap w:val="0"/>
            <w:vAlign w:val="center"/>
          </w:tcPr>
          <w:p>
            <w:pPr>
              <w:rPr>
                <w:rFonts w:ascii="仿宋" w:hAnsi="仿宋" w:eastAsia="仿宋"/>
                <w:color w:val="000000"/>
                <w:szCs w:val="21"/>
              </w:rPr>
            </w:pPr>
            <w:r>
              <w:rPr>
                <w:rFonts w:hint="eastAsia" w:ascii="仿宋" w:hAnsi="仿宋" w:eastAsia="仿宋"/>
                <w:color w:val="000000"/>
                <w:szCs w:val="21"/>
              </w:rPr>
              <w:t>拟投入本项目的管理人员及组织分工情况评价：</w:t>
            </w:r>
          </w:p>
          <w:p>
            <w:pPr>
              <w:ind w:firstLine="420" w:firstLineChars="200"/>
              <w:rPr>
                <w:rFonts w:hint="eastAsia" w:ascii="仿宋" w:hAnsi="仿宋" w:eastAsia="仿宋"/>
                <w:color w:val="000000"/>
                <w:szCs w:val="21"/>
              </w:rPr>
            </w:pPr>
            <w:r>
              <w:rPr>
                <w:rFonts w:hint="eastAsia" w:ascii="仿宋" w:hAnsi="仿宋" w:eastAsia="仿宋"/>
                <w:color w:val="000000"/>
                <w:szCs w:val="21"/>
              </w:rPr>
              <w:t>基本要求，项目组织管理团队核心成员不少于</w:t>
            </w:r>
            <w:r>
              <w:rPr>
                <w:rFonts w:ascii="仿宋" w:hAnsi="仿宋" w:eastAsia="仿宋"/>
                <w:color w:val="000000"/>
                <w:szCs w:val="21"/>
              </w:rPr>
              <w:t>3</w:t>
            </w:r>
            <w:r>
              <w:rPr>
                <w:rFonts w:hint="eastAsia" w:ascii="仿宋" w:hAnsi="仿宋" w:eastAsia="仿宋"/>
                <w:color w:val="000000"/>
                <w:szCs w:val="21"/>
              </w:rPr>
              <w:t>人,熟悉老年护理、教育教学培训相关工作，中级或高级职称，人事关系隶属本单位对应部门。</w:t>
            </w:r>
          </w:p>
          <w:p>
            <w:pPr>
              <w:rPr>
                <w:rFonts w:hint="eastAsia" w:ascii="仿宋" w:hAnsi="仿宋" w:eastAsia="仿宋"/>
                <w:color w:val="000000"/>
                <w:szCs w:val="21"/>
              </w:rPr>
            </w:pPr>
            <w:r>
              <w:rPr>
                <w:rFonts w:hint="eastAsia" w:ascii="仿宋" w:hAnsi="仿宋" w:eastAsia="仿宋"/>
                <w:color w:val="000000"/>
                <w:szCs w:val="21"/>
              </w:rPr>
              <w:t>（1）类似工作经验丰富，学历（专业）优于/符合要求，分工明确，组织合理，与项目实际契合度高，得7-10分；</w:t>
            </w:r>
          </w:p>
          <w:p>
            <w:pPr>
              <w:rPr>
                <w:rFonts w:hint="eastAsia" w:ascii="仿宋" w:hAnsi="仿宋" w:eastAsia="仿宋"/>
                <w:color w:val="000000"/>
                <w:szCs w:val="21"/>
              </w:rPr>
            </w:pPr>
            <w:r>
              <w:rPr>
                <w:rFonts w:hint="eastAsia" w:ascii="仿宋" w:hAnsi="仿宋" w:eastAsia="仿宋"/>
                <w:color w:val="000000"/>
                <w:szCs w:val="21"/>
              </w:rPr>
              <w:t>（2）类似工作经验较丰富，学历（专业）符合要求，分工较明确，组织较合理，与项目实际契合度较高，得4-6分；</w:t>
            </w:r>
          </w:p>
          <w:p>
            <w:pPr>
              <w:rPr>
                <w:rFonts w:hint="eastAsia" w:ascii="仿宋" w:hAnsi="仿宋" w:eastAsia="仿宋"/>
                <w:color w:val="000000"/>
                <w:szCs w:val="21"/>
              </w:rPr>
            </w:pPr>
            <w:r>
              <w:rPr>
                <w:rFonts w:hint="eastAsia" w:ascii="仿宋" w:hAnsi="仿宋" w:eastAsia="仿宋"/>
                <w:color w:val="000000"/>
                <w:szCs w:val="21"/>
              </w:rPr>
              <w:t>（3）类似工作经验一般，学历（专业）基本满足要求，分工一般，组织一般，与项目实际契合度一般，得1-3分；</w:t>
            </w:r>
          </w:p>
          <w:p>
            <w:pPr>
              <w:rPr>
                <w:rFonts w:hint="eastAsia" w:ascii="仿宋" w:hAnsi="仿宋" w:eastAsia="仿宋"/>
                <w:color w:val="000000"/>
                <w:szCs w:val="21"/>
              </w:rPr>
            </w:pPr>
            <w:r>
              <w:rPr>
                <w:rFonts w:hint="eastAsia" w:ascii="仿宋" w:hAnsi="仿宋" w:eastAsia="仿宋"/>
                <w:color w:val="000000"/>
                <w:szCs w:val="21"/>
              </w:rPr>
              <w:t>（4）类似工作经验较差，学历（专业）较差，分工不明确，组织不太合理，无法满足实际需要，得0分。</w:t>
            </w:r>
          </w:p>
          <w:p>
            <w:pPr>
              <w:rPr>
                <w:rFonts w:hint="eastAsia" w:ascii="仿宋" w:hAnsi="仿宋" w:eastAsia="仿宋"/>
                <w:color w:val="000000"/>
                <w:szCs w:val="21"/>
              </w:rPr>
            </w:pPr>
            <w:r>
              <w:rPr>
                <w:rFonts w:hint="eastAsia" w:ascii="仿宋" w:hAnsi="仿宋" w:eastAsia="仿宋"/>
                <w:color w:val="000000"/>
                <w:szCs w:val="21"/>
              </w:rPr>
              <w:t>注：需提供项目团队人员简介、人事隶属关系及学历资质证明。</w:t>
            </w:r>
          </w:p>
        </w:tc>
        <w:tc>
          <w:tcPr>
            <w:tcW w:w="851" w:type="dxa"/>
            <w:noWrap w:val="0"/>
            <w:vAlign w:val="center"/>
          </w:tcPr>
          <w:p>
            <w:pPr>
              <w:jc w:val="center"/>
              <w:rPr>
                <w:rFonts w:hint="default" w:ascii="仿宋" w:hAnsi="仿宋" w:eastAsia="仿宋" w:cs="仿宋_GB2312"/>
                <w:color w:val="000000"/>
                <w:szCs w:val="21"/>
                <w:lang w:val="en-US" w:eastAsia="zh-CN"/>
              </w:rPr>
            </w:pPr>
            <w:r>
              <w:rPr>
                <w:rFonts w:hint="eastAsia" w:ascii="仿宋" w:hAnsi="仿宋" w:eastAsia="仿宋" w:cs="仿宋_GB2312"/>
                <w:color w:val="00000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Merge w:val="continue"/>
            <w:noWrap w:val="0"/>
            <w:vAlign w:val="top"/>
          </w:tcPr>
          <w:p>
            <w:pPr>
              <w:pStyle w:val="9"/>
              <w:ind w:firstLine="0" w:firstLineChars="0"/>
              <w:rPr>
                <w:rFonts w:hint="eastAsia" w:ascii="仿宋" w:hAnsi="仿宋" w:eastAsia="仿宋"/>
                <w:b/>
                <w:bCs/>
                <w:color w:val="000000"/>
                <w:sz w:val="21"/>
                <w:szCs w:val="21"/>
              </w:rPr>
            </w:pPr>
          </w:p>
        </w:tc>
        <w:tc>
          <w:tcPr>
            <w:tcW w:w="1191" w:type="dxa"/>
            <w:noWrap w:val="0"/>
            <w:vAlign w:val="center"/>
          </w:tcPr>
          <w:p>
            <w:pPr>
              <w:pStyle w:val="9"/>
              <w:ind w:firstLine="0" w:firstLineChars="0"/>
              <w:jc w:val="center"/>
              <w:rPr>
                <w:rFonts w:ascii="仿宋" w:hAnsi="仿宋" w:eastAsia="仿宋"/>
                <w:b/>
                <w:bCs/>
                <w:color w:val="000000"/>
                <w:sz w:val="21"/>
                <w:szCs w:val="21"/>
              </w:rPr>
            </w:pPr>
          </w:p>
          <w:p>
            <w:pPr>
              <w:pStyle w:val="9"/>
              <w:ind w:firstLine="0" w:firstLineChars="0"/>
              <w:jc w:val="center"/>
              <w:rPr>
                <w:rFonts w:ascii="仿宋" w:hAnsi="仿宋" w:eastAsia="仿宋"/>
                <w:b/>
                <w:bCs/>
                <w:color w:val="000000"/>
                <w:sz w:val="21"/>
                <w:szCs w:val="21"/>
              </w:rPr>
            </w:pPr>
            <w:r>
              <w:rPr>
                <w:rFonts w:hint="eastAsia" w:ascii="仿宋" w:hAnsi="仿宋" w:eastAsia="仿宋"/>
                <w:b/>
                <w:bCs/>
                <w:color w:val="000000"/>
                <w:sz w:val="21"/>
                <w:szCs w:val="21"/>
              </w:rPr>
              <w:t>经费管理</w:t>
            </w:r>
          </w:p>
          <w:p>
            <w:pPr>
              <w:pStyle w:val="9"/>
              <w:ind w:firstLine="0" w:firstLineChars="0"/>
              <w:jc w:val="center"/>
              <w:rPr>
                <w:rFonts w:hint="eastAsia" w:ascii="仿宋" w:hAnsi="仿宋" w:eastAsia="仿宋"/>
                <w:b/>
                <w:bCs/>
                <w:color w:val="000000"/>
                <w:sz w:val="21"/>
                <w:szCs w:val="21"/>
              </w:rPr>
            </w:pPr>
            <w:r>
              <w:rPr>
                <w:rFonts w:hint="eastAsia" w:ascii="仿宋" w:hAnsi="仿宋" w:eastAsia="仿宋"/>
                <w:b/>
                <w:bCs/>
                <w:color w:val="000000"/>
                <w:sz w:val="21"/>
                <w:szCs w:val="21"/>
              </w:rPr>
              <w:t>（10分）</w:t>
            </w:r>
          </w:p>
        </w:tc>
        <w:tc>
          <w:tcPr>
            <w:tcW w:w="5106" w:type="dxa"/>
            <w:noWrap w:val="0"/>
            <w:vAlign w:val="center"/>
          </w:tcPr>
          <w:p>
            <w:pPr>
              <w:pStyle w:val="9"/>
              <w:ind w:firstLine="0" w:firstLineChars="0"/>
              <w:rPr>
                <w:rFonts w:ascii="仿宋" w:hAnsi="仿宋" w:eastAsia="仿宋" w:cs="仿宋_GB2312"/>
                <w:color w:val="000000"/>
                <w:sz w:val="21"/>
                <w:szCs w:val="21"/>
              </w:rPr>
            </w:pPr>
            <w:r>
              <w:rPr>
                <w:rFonts w:hint="eastAsia" w:ascii="仿宋" w:hAnsi="仿宋" w:eastAsia="仿宋" w:cs="仿宋_GB2312"/>
                <w:color w:val="000000"/>
                <w:sz w:val="21"/>
                <w:szCs w:val="21"/>
              </w:rPr>
              <w:t>提供资金使用安全性的说明文件（</w:t>
            </w:r>
            <w:r>
              <w:rPr>
                <w:rFonts w:ascii="仿宋" w:hAnsi="仿宋" w:eastAsia="仿宋" w:cs="仿宋_GB2312"/>
                <w:color w:val="000000"/>
                <w:sz w:val="21"/>
                <w:szCs w:val="21"/>
              </w:rPr>
              <w:t>4</w:t>
            </w:r>
            <w:r>
              <w:rPr>
                <w:rFonts w:hint="eastAsia" w:ascii="仿宋" w:hAnsi="仿宋" w:eastAsia="仿宋" w:cs="仿宋_GB2312"/>
                <w:color w:val="000000"/>
                <w:sz w:val="21"/>
                <w:szCs w:val="21"/>
              </w:rPr>
              <w:t>分）和相关财务制度（</w:t>
            </w:r>
            <w:r>
              <w:rPr>
                <w:rFonts w:ascii="仿宋" w:hAnsi="仿宋" w:eastAsia="仿宋" w:cs="仿宋_GB2312"/>
                <w:color w:val="000000"/>
                <w:sz w:val="21"/>
                <w:szCs w:val="21"/>
              </w:rPr>
              <w:t>3</w:t>
            </w:r>
            <w:r>
              <w:rPr>
                <w:rFonts w:hint="eastAsia" w:ascii="仿宋" w:hAnsi="仿宋" w:eastAsia="仿宋" w:cs="仿宋_GB2312"/>
                <w:color w:val="000000"/>
                <w:sz w:val="21"/>
                <w:szCs w:val="21"/>
              </w:rPr>
              <w:t>分），并安排财务部门专人负责本项目经费的管理（</w:t>
            </w:r>
            <w:r>
              <w:rPr>
                <w:rFonts w:ascii="仿宋" w:hAnsi="仿宋" w:eastAsia="仿宋" w:cs="仿宋_GB2312"/>
                <w:color w:val="000000"/>
                <w:sz w:val="21"/>
                <w:szCs w:val="21"/>
              </w:rPr>
              <w:t>3</w:t>
            </w:r>
            <w:r>
              <w:rPr>
                <w:rFonts w:hint="eastAsia" w:ascii="仿宋" w:hAnsi="仿宋" w:eastAsia="仿宋" w:cs="仿宋_GB2312"/>
                <w:color w:val="000000"/>
                <w:sz w:val="21"/>
                <w:szCs w:val="21"/>
              </w:rPr>
              <w:t>分）。</w:t>
            </w:r>
          </w:p>
          <w:p>
            <w:pPr>
              <w:pStyle w:val="9"/>
              <w:ind w:firstLine="0" w:firstLineChars="0"/>
              <w:rPr>
                <w:rFonts w:hint="eastAsia" w:ascii="仿宋" w:hAnsi="仿宋" w:eastAsia="仿宋"/>
                <w:color w:val="000000"/>
                <w:sz w:val="21"/>
                <w:szCs w:val="21"/>
              </w:rPr>
            </w:pPr>
            <w:r>
              <w:rPr>
                <w:rFonts w:hint="eastAsia" w:ascii="仿宋" w:hAnsi="仿宋" w:eastAsia="仿宋" w:cs="仿宋_GB2312"/>
                <w:color w:val="000000"/>
                <w:sz w:val="21"/>
                <w:szCs w:val="21"/>
              </w:rPr>
              <w:t>有一项未阐述或不满足上述描述的扣每项对应分值，扣完为止。如执行机构为医科大学、三级医疗机构等，鉴于其完善的财务管理制度及规范，此项可得满分。</w:t>
            </w:r>
          </w:p>
        </w:tc>
        <w:tc>
          <w:tcPr>
            <w:tcW w:w="851" w:type="dxa"/>
            <w:noWrap w:val="0"/>
            <w:vAlign w:val="center"/>
          </w:tcPr>
          <w:p>
            <w:pPr>
              <w:pStyle w:val="9"/>
              <w:ind w:firstLine="0" w:firstLineChars="0"/>
              <w:jc w:val="center"/>
              <w:rPr>
                <w:rFonts w:hint="default" w:ascii="仿宋" w:hAnsi="仿宋" w:eastAsia="仿宋" w:cs="仿宋_GB2312"/>
                <w:color w:val="000000"/>
                <w:sz w:val="21"/>
                <w:szCs w:val="21"/>
                <w:lang w:val="en-US" w:eastAsia="zh-CN"/>
              </w:rPr>
            </w:pPr>
            <w:r>
              <w:rPr>
                <w:rFonts w:hint="eastAsia" w:ascii="仿宋" w:hAnsi="仿宋" w:eastAsia="仿宋" w:cs="仿宋_GB2312"/>
                <w:color w:val="000000"/>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Merge w:val="continue"/>
            <w:noWrap w:val="0"/>
            <w:vAlign w:val="top"/>
          </w:tcPr>
          <w:p>
            <w:pPr>
              <w:pStyle w:val="9"/>
              <w:ind w:firstLine="0" w:firstLineChars="0"/>
              <w:rPr>
                <w:rFonts w:hint="eastAsia" w:ascii="仿宋" w:hAnsi="仿宋" w:eastAsia="仿宋"/>
                <w:b/>
                <w:bCs/>
                <w:color w:val="000000"/>
                <w:sz w:val="21"/>
                <w:szCs w:val="21"/>
              </w:rPr>
            </w:pPr>
          </w:p>
        </w:tc>
        <w:tc>
          <w:tcPr>
            <w:tcW w:w="1191" w:type="dxa"/>
            <w:noWrap w:val="0"/>
            <w:vAlign w:val="center"/>
          </w:tcPr>
          <w:p>
            <w:pPr>
              <w:jc w:val="center"/>
              <w:rPr>
                <w:rFonts w:ascii="仿宋" w:hAnsi="仿宋" w:eastAsia="仿宋"/>
                <w:b/>
                <w:bCs/>
                <w:color w:val="000000"/>
                <w:szCs w:val="21"/>
              </w:rPr>
            </w:pPr>
          </w:p>
          <w:p>
            <w:pPr>
              <w:rPr>
                <w:rFonts w:ascii="仿宋" w:hAnsi="仿宋" w:eastAsia="仿宋"/>
                <w:b/>
                <w:bCs/>
                <w:color w:val="000000"/>
                <w:szCs w:val="21"/>
              </w:rPr>
            </w:pPr>
            <w:r>
              <w:rPr>
                <w:rFonts w:hint="eastAsia" w:ascii="仿宋" w:hAnsi="仿宋" w:eastAsia="仿宋"/>
                <w:b/>
                <w:bCs/>
                <w:color w:val="000000"/>
                <w:szCs w:val="21"/>
              </w:rPr>
              <w:t>服务承诺</w:t>
            </w:r>
          </w:p>
          <w:p>
            <w:pPr>
              <w:rPr>
                <w:rFonts w:hint="eastAsia" w:ascii="仿宋" w:hAnsi="仿宋" w:eastAsia="仿宋"/>
                <w:b/>
                <w:bCs/>
                <w:color w:val="000000"/>
                <w:szCs w:val="21"/>
              </w:rPr>
            </w:pPr>
            <w:r>
              <w:rPr>
                <w:rFonts w:hint="eastAsia" w:ascii="仿宋" w:hAnsi="仿宋" w:eastAsia="仿宋"/>
                <w:b/>
                <w:bCs/>
                <w:color w:val="000000"/>
                <w:szCs w:val="21"/>
              </w:rPr>
              <w:t>（10分）</w:t>
            </w:r>
          </w:p>
          <w:p>
            <w:pPr>
              <w:pStyle w:val="9"/>
              <w:ind w:firstLine="422"/>
              <w:rPr>
                <w:rFonts w:hint="eastAsia" w:ascii="仿宋" w:hAnsi="仿宋" w:eastAsia="仿宋"/>
                <w:b/>
                <w:bCs/>
                <w:color w:val="000000"/>
                <w:sz w:val="21"/>
                <w:szCs w:val="21"/>
              </w:rPr>
            </w:pPr>
          </w:p>
        </w:tc>
        <w:tc>
          <w:tcPr>
            <w:tcW w:w="5106" w:type="dxa"/>
            <w:noWrap w:val="0"/>
            <w:vAlign w:val="center"/>
          </w:tcPr>
          <w:p>
            <w:pPr>
              <w:rPr>
                <w:rFonts w:hint="eastAsia" w:ascii="仿宋" w:hAnsi="仿宋" w:eastAsia="仿宋"/>
                <w:color w:val="000000"/>
                <w:szCs w:val="21"/>
              </w:rPr>
            </w:pPr>
            <w:r>
              <w:rPr>
                <w:rFonts w:hint="eastAsia" w:ascii="仿宋" w:hAnsi="仿宋" w:eastAsia="仿宋"/>
                <w:color w:val="000000"/>
                <w:szCs w:val="21"/>
              </w:rPr>
              <w:t>根据本项目组织举办期间及完成后需履行的各项要求，重点考察投标单位能否按照项目实施进度的时间要求，逐条做出具体承诺，以及完成承诺的各项措施和措施的合理性。</w:t>
            </w:r>
          </w:p>
          <w:p>
            <w:pPr>
              <w:rPr>
                <w:rFonts w:hint="eastAsia" w:ascii="仿宋" w:hAnsi="仿宋" w:eastAsia="仿宋" w:cs="仿宋_GB2312"/>
                <w:color w:val="000000"/>
                <w:szCs w:val="21"/>
              </w:rPr>
            </w:pPr>
            <w:r>
              <w:rPr>
                <w:rFonts w:hint="eastAsia" w:ascii="仿宋" w:hAnsi="仿宋" w:eastAsia="仿宋"/>
                <w:color w:val="000000"/>
                <w:szCs w:val="21"/>
              </w:rPr>
              <w:t>根据招标文件的需求和投标文件响应情况进行横向比较，分档评分：优</w:t>
            </w:r>
            <w:r>
              <w:rPr>
                <w:rFonts w:ascii="仿宋" w:hAnsi="仿宋" w:eastAsia="仿宋"/>
                <w:color w:val="000000"/>
                <w:szCs w:val="21"/>
              </w:rPr>
              <w:t>8-10</w:t>
            </w:r>
            <w:r>
              <w:rPr>
                <w:rFonts w:hint="eastAsia" w:ascii="仿宋" w:hAnsi="仿宋" w:eastAsia="仿宋"/>
                <w:color w:val="000000"/>
                <w:szCs w:val="21"/>
              </w:rPr>
              <w:t>分;良</w:t>
            </w:r>
            <w:r>
              <w:rPr>
                <w:rFonts w:ascii="仿宋" w:hAnsi="仿宋" w:eastAsia="仿宋"/>
                <w:color w:val="000000"/>
                <w:szCs w:val="21"/>
              </w:rPr>
              <w:t>4-7</w:t>
            </w:r>
            <w:r>
              <w:rPr>
                <w:rFonts w:hint="eastAsia" w:ascii="仿宋" w:hAnsi="仿宋" w:eastAsia="仿宋"/>
                <w:color w:val="000000"/>
                <w:szCs w:val="21"/>
              </w:rPr>
              <w:t>分；一般</w:t>
            </w:r>
            <w:r>
              <w:rPr>
                <w:rFonts w:ascii="仿宋" w:hAnsi="仿宋" w:eastAsia="仿宋"/>
                <w:color w:val="000000"/>
                <w:szCs w:val="21"/>
              </w:rPr>
              <w:t>1-3</w:t>
            </w:r>
            <w:r>
              <w:rPr>
                <w:rFonts w:hint="eastAsia" w:ascii="仿宋" w:hAnsi="仿宋" w:eastAsia="仿宋"/>
                <w:color w:val="000000"/>
                <w:szCs w:val="21"/>
              </w:rPr>
              <w:t xml:space="preserve">分；差不得分。 </w:t>
            </w:r>
          </w:p>
        </w:tc>
        <w:tc>
          <w:tcPr>
            <w:tcW w:w="851" w:type="dxa"/>
            <w:noWrap w:val="0"/>
            <w:vAlign w:val="center"/>
          </w:tcPr>
          <w:p>
            <w:pPr>
              <w:jc w:val="center"/>
              <w:rPr>
                <w:rFonts w:hint="default" w:ascii="仿宋" w:hAnsi="仿宋" w:eastAsia="仿宋"/>
                <w:color w:val="000000"/>
                <w:szCs w:val="21"/>
                <w:lang w:val="en-US" w:eastAsia="zh-CN"/>
              </w:rPr>
            </w:pPr>
            <w:r>
              <w:rPr>
                <w:rFonts w:hint="eastAsia" w:ascii="仿宋" w:hAnsi="仿宋" w:eastAsia="仿宋"/>
                <w:color w:val="000000"/>
                <w:szCs w:val="21"/>
                <w:lang w:val="en-US" w:eastAsia="zh-CN"/>
              </w:rPr>
              <w:t>10</w:t>
            </w:r>
          </w:p>
        </w:tc>
      </w:tr>
      <w:bookmarkEnd w:id="0"/>
    </w:tbl>
    <w:p>
      <w:pPr>
        <w:rPr>
          <w:b/>
        </w:rPr>
      </w:pPr>
    </w:p>
    <w:p/>
    <w:p>
      <w:pPr>
        <w:rPr>
          <w:rFonts w:ascii="仿宋" w:hAnsi="仿宋" w:eastAsia="仿宋" w:cs="宋体"/>
          <w:szCs w:val="21"/>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
    <w:altName w:val="方正仿宋_GBK"/>
    <w:panose1 w:val="00000000000000000000"/>
    <w:charset w:val="00"/>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99485C"/>
    <w:rsid w:val="000A22BF"/>
    <w:rsid w:val="00193EAA"/>
    <w:rsid w:val="002813AC"/>
    <w:rsid w:val="00296944"/>
    <w:rsid w:val="002D2684"/>
    <w:rsid w:val="003B2C36"/>
    <w:rsid w:val="003D1C53"/>
    <w:rsid w:val="003E70D5"/>
    <w:rsid w:val="004D73E0"/>
    <w:rsid w:val="004F644E"/>
    <w:rsid w:val="00504DC9"/>
    <w:rsid w:val="00515BAC"/>
    <w:rsid w:val="006337E9"/>
    <w:rsid w:val="006975EE"/>
    <w:rsid w:val="006F7B9A"/>
    <w:rsid w:val="0072607C"/>
    <w:rsid w:val="007A7660"/>
    <w:rsid w:val="008A2C42"/>
    <w:rsid w:val="0099485C"/>
    <w:rsid w:val="00B33D64"/>
    <w:rsid w:val="00B927D3"/>
    <w:rsid w:val="00BA4C9E"/>
    <w:rsid w:val="00C93AE2"/>
    <w:rsid w:val="00CA49E3"/>
    <w:rsid w:val="00D875C2"/>
    <w:rsid w:val="00DB1122"/>
    <w:rsid w:val="00FF1677"/>
    <w:rsid w:val="3DFB4AE3"/>
    <w:rsid w:val="4BEF5F9E"/>
    <w:rsid w:val="534A4F32"/>
    <w:rsid w:val="5FEF2523"/>
    <w:rsid w:val="D7FFFEB3"/>
    <w:rsid w:val="EF777469"/>
    <w:rsid w:val="EFEEB3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adjustRightInd w:val="0"/>
      <w:jc w:val="center"/>
      <w:textAlignment w:val="baseline"/>
      <w:outlineLvl w:val="0"/>
    </w:pPr>
    <w:rPr>
      <w:rFonts w:ascii="宋体" w:hAnsi="宋体"/>
      <w:b/>
      <w:spacing w:val="4"/>
      <w:kern w:val="0"/>
      <w:sz w:val="48"/>
      <w:szCs w:val="28"/>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annotation text"/>
    <w:basedOn w:val="1"/>
    <w:link w:val="17"/>
    <w:unhideWhenUsed/>
    <w:qFormat/>
    <w:uiPriority w:val="99"/>
    <w:pPr>
      <w:jc w:val="left"/>
    </w:pPr>
  </w:style>
  <w:style w:type="paragraph" w:styleId="4">
    <w:name w:val="Body Text Indent"/>
    <w:basedOn w:val="1"/>
    <w:qFormat/>
    <w:uiPriority w:val="0"/>
    <w:pPr>
      <w:ind w:firstLine="560" w:firstLineChars="200"/>
    </w:pPr>
    <w:rPr>
      <w:sz w:val="28"/>
    </w:rPr>
  </w:style>
  <w:style w:type="paragraph" w:styleId="5">
    <w:name w:val="Balloon Text"/>
    <w:basedOn w:val="1"/>
    <w:link w:val="19"/>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unhideWhenUsed/>
    <w:qFormat/>
    <w:uiPriority w:val="99"/>
    <w:rPr>
      <w:b/>
      <w:bCs/>
    </w:rPr>
  </w:style>
  <w:style w:type="paragraph" w:styleId="9">
    <w:name w:val="Body Text First Indent 2"/>
    <w:basedOn w:val="4"/>
    <w:qFormat/>
    <w:uiPriority w:val="0"/>
    <w:pPr>
      <w:ind w:firstLine="420" w:firstLineChars="200"/>
    </w:pPr>
  </w:style>
  <w:style w:type="character" w:styleId="12">
    <w:name w:val="annotation reference"/>
    <w:basedOn w:val="11"/>
    <w:unhideWhenUsed/>
    <w:qFormat/>
    <w:uiPriority w:val="99"/>
    <w:rPr>
      <w:sz w:val="21"/>
      <w:szCs w:val="21"/>
    </w:rPr>
  </w:style>
  <w:style w:type="paragraph" w:customStyle="1" w:styleId="13">
    <w:name w:val="List Paragraph"/>
    <w:basedOn w:val="1"/>
    <w:link w:val="16"/>
    <w:qFormat/>
    <w:uiPriority w:val="34"/>
    <w:pPr>
      <w:ind w:firstLine="420" w:firstLineChars="200"/>
    </w:pPr>
    <w:rPr>
      <w:rFonts w:ascii="Calibri" w:hAnsi="Calibri"/>
    </w:rPr>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99"/>
    <w:rPr>
      <w:sz w:val="18"/>
      <w:szCs w:val="18"/>
    </w:rPr>
  </w:style>
  <w:style w:type="character" w:customStyle="1" w:styleId="16">
    <w:name w:val="列出段落 Char"/>
    <w:link w:val="13"/>
    <w:qFormat/>
    <w:uiPriority w:val="34"/>
    <w:rPr>
      <w:rFonts w:ascii="Calibri" w:hAnsi="Calibri"/>
    </w:rPr>
  </w:style>
  <w:style w:type="character" w:customStyle="1" w:styleId="17">
    <w:name w:val="批注文字 Char"/>
    <w:basedOn w:val="11"/>
    <w:link w:val="3"/>
    <w:semiHidden/>
    <w:qFormat/>
    <w:uiPriority w:val="99"/>
  </w:style>
  <w:style w:type="character" w:customStyle="1" w:styleId="18">
    <w:name w:val="批注主题 Char"/>
    <w:basedOn w:val="17"/>
    <w:link w:val="8"/>
    <w:semiHidden/>
    <w:qFormat/>
    <w:uiPriority w:val="99"/>
    <w:rPr>
      <w:b/>
      <w:bCs/>
    </w:rPr>
  </w:style>
  <w:style w:type="character" w:customStyle="1" w:styleId="19">
    <w:name w:val="批注框文本 Char"/>
    <w:basedOn w:val="11"/>
    <w:link w:val="5"/>
    <w:semiHidden/>
    <w:qFormat/>
    <w:uiPriority w:val="99"/>
    <w:rPr>
      <w:sz w:val="18"/>
      <w:szCs w:val="18"/>
    </w:rPr>
  </w:style>
  <w:style w:type="character" w:customStyle="1" w:styleId="20">
    <w:name w:val="font31"/>
    <w:basedOn w:val="1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329</Words>
  <Characters>1876</Characters>
  <Lines>15</Lines>
  <Paragraphs>4</Paragraphs>
  <TotalTime>1</TotalTime>
  <ScaleCrop>false</ScaleCrop>
  <LinksUpToDate>false</LinksUpToDate>
  <CharactersWithSpaces>0</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2022-04-20T12:00:00Z</dcterms:created>
  <dc:creator>强文晓</dc:creator>
  <cp:lastModifiedBy>admin</cp:lastModifiedBy>
  <dcterms:modified xsi:type="dcterms:W3CDTF">2022-10-13T17:09:11Z</dcterms:modified>
  <dc:title>申请人须知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ies>
</file>