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评分标准</w:t>
      </w:r>
    </w:p>
    <w:p>
      <w:pPr>
        <w:rPr>
          <w:rFonts w:ascii="仿宋" w:hAnsi="仿宋" w:eastAsia="仿宋" w:cs="宋体"/>
          <w:szCs w:val="21"/>
        </w:rPr>
      </w:pPr>
    </w:p>
    <w:tbl>
      <w:tblPr>
        <w:tblStyle w:val="10"/>
        <w:tblW w:w="81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110"/>
        <w:gridCol w:w="535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suppressAutoHyphens w:val="0"/>
              <w:spacing w:after="120" w:line="360" w:lineRule="auto"/>
              <w:jc w:val="center"/>
              <w:rPr>
                <w:rFonts w:hint="eastAsia" w:ascii="仿宋" w:hAnsi="仿宋" w:eastAsia="仿宋"/>
                <w:b/>
                <w:szCs w:val="21"/>
              </w:rPr>
            </w:pPr>
            <w:r>
              <w:rPr>
                <w:rFonts w:hint="eastAsia" w:ascii="仿宋" w:hAnsi="仿宋" w:eastAsia="仿宋"/>
                <w:b/>
                <w:color w:val="000000"/>
                <w:kern w:val="0"/>
                <w:szCs w:val="21"/>
              </w:rPr>
              <w:t>内容</w:t>
            </w:r>
          </w:p>
        </w:tc>
        <w:tc>
          <w:tcPr>
            <w:tcW w:w="1110" w:type="dxa"/>
            <w:noWrap w:val="0"/>
            <w:vAlign w:val="center"/>
          </w:tcPr>
          <w:p>
            <w:pPr>
              <w:suppressAutoHyphens w:val="0"/>
              <w:spacing w:after="120" w:line="360" w:lineRule="auto"/>
              <w:jc w:val="center"/>
              <w:rPr>
                <w:rFonts w:hint="eastAsia" w:ascii="仿宋" w:hAnsi="仿宋" w:eastAsia="仿宋" w:cs="Times New Roman"/>
                <w:b/>
                <w:kern w:val="2"/>
                <w:sz w:val="21"/>
                <w:szCs w:val="21"/>
                <w:lang w:val="en-US" w:eastAsia="zh-CN" w:bidi="ar-SA"/>
              </w:rPr>
            </w:pPr>
            <w:r>
              <w:rPr>
                <w:rFonts w:hint="eastAsia" w:ascii="仿宋" w:hAnsi="仿宋" w:eastAsia="仿宋"/>
                <w:b/>
                <w:color w:val="000000"/>
                <w:kern w:val="0"/>
                <w:szCs w:val="21"/>
              </w:rPr>
              <w:t>评分内容</w:t>
            </w:r>
          </w:p>
        </w:tc>
        <w:tc>
          <w:tcPr>
            <w:tcW w:w="5355" w:type="dxa"/>
            <w:noWrap w:val="0"/>
            <w:vAlign w:val="center"/>
          </w:tcPr>
          <w:p>
            <w:pPr>
              <w:suppressAutoHyphens w:val="0"/>
              <w:spacing w:after="120" w:line="360" w:lineRule="auto"/>
              <w:jc w:val="center"/>
              <w:rPr>
                <w:rFonts w:hint="eastAsia" w:ascii="仿宋" w:hAnsi="仿宋" w:eastAsia="仿宋" w:cs="Times New Roman"/>
                <w:kern w:val="2"/>
                <w:sz w:val="21"/>
                <w:szCs w:val="21"/>
                <w:lang w:val="en-US" w:eastAsia="zh-CN" w:bidi="ar-SA"/>
              </w:rPr>
            </w:pPr>
            <w:r>
              <w:rPr>
                <w:rFonts w:hint="eastAsia" w:ascii="仿宋" w:hAnsi="仿宋" w:eastAsia="仿宋"/>
                <w:b/>
                <w:color w:val="000000"/>
                <w:kern w:val="0"/>
                <w:szCs w:val="21"/>
              </w:rPr>
              <w:t>评标标准</w:t>
            </w:r>
          </w:p>
        </w:tc>
        <w:tc>
          <w:tcPr>
            <w:tcW w:w="735" w:type="dxa"/>
            <w:noWrap w:val="0"/>
            <w:vAlign w:val="center"/>
          </w:tcPr>
          <w:p>
            <w:pPr>
              <w:suppressAutoHyphens w:val="0"/>
              <w:spacing w:after="120" w:line="360" w:lineRule="auto"/>
              <w:jc w:val="center"/>
              <w:rPr>
                <w:rFonts w:hint="eastAsia" w:ascii="仿宋" w:hAnsi="仿宋" w:eastAsia="仿宋"/>
                <w:b/>
                <w:color w:val="000000"/>
                <w:kern w:val="0"/>
                <w:szCs w:val="21"/>
              </w:rPr>
            </w:pPr>
            <w:r>
              <w:rPr>
                <w:rFonts w:hint="eastAsia" w:ascii="仿宋" w:hAnsi="仿宋" w:eastAsia="仿宋"/>
                <w:b/>
                <w:color w:val="000000"/>
                <w:kern w:val="0"/>
                <w:szCs w:val="21"/>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suppressAutoHyphens w:val="0"/>
              <w:spacing w:line="276" w:lineRule="auto"/>
              <w:jc w:val="center"/>
              <w:rPr>
                <w:rFonts w:ascii="仿宋" w:hAnsi="仿宋" w:eastAsia="仿宋" w:cs="宋体"/>
                <w:b/>
                <w:color w:val="000000"/>
                <w:kern w:val="0"/>
                <w:szCs w:val="21"/>
              </w:rPr>
            </w:pPr>
            <w:r>
              <w:rPr>
                <w:rFonts w:hint="eastAsia" w:ascii="仿宋" w:hAnsi="仿宋" w:eastAsia="仿宋" w:cs="宋体"/>
                <w:b/>
                <w:color w:val="000000"/>
                <w:kern w:val="0"/>
                <w:szCs w:val="21"/>
              </w:rPr>
              <w:t>价格</w:t>
            </w:r>
          </w:p>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（10分）</w:t>
            </w:r>
          </w:p>
        </w:tc>
        <w:tc>
          <w:tcPr>
            <w:tcW w:w="1110" w:type="dxa"/>
            <w:noWrap w:val="0"/>
            <w:vAlign w:val="center"/>
          </w:tcPr>
          <w:p>
            <w:pPr>
              <w:suppressAutoHyphens w:val="0"/>
              <w:spacing w:line="276" w:lineRule="auto"/>
              <w:jc w:val="center"/>
              <w:rPr>
                <w:rFonts w:ascii="仿宋" w:hAnsi="仿宋" w:eastAsia="仿宋" w:cs="宋体"/>
                <w:b/>
                <w:color w:val="000000"/>
                <w:kern w:val="0"/>
                <w:szCs w:val="21"/>
              </w:rPr>
            </w:pPr>
            <w:r>
              <w:rPr>
                <w:rFonts w:hint="eastAsia" w:ascii="仿宋" w:hAnsi="仿宋" w:eastAsia="仿宋" w:cs="宋体"/>
                <w:b/>
                <w:color w:val="000000"/>
                <w:kern w:val="0"/>
                <w:szCs w:val="21"/>
              </w:rPr>
              <w:t>遴选报价</w:t>
            </w:r>
          </w:p>
          <w:p>
            <w:pPr>
              <w:suppressAutoHyphens w:val="0"/>
              <w:spacing w:line="276" w:lineRule="auto"/>
              <w:jc w:val="center"/>
              <w:rPr>
                <w:rFonts w:hint="default"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（10分）</w:t>
            </w:r>
          </w:p>
        </w:tc>
        <w:tc>
          <w:tcPr>
            <w:tcW w:w="5355" w:type="dxa"/>
            <w:noWrap w:val="0"/>
            <w:vAlign w:val="center"/>
          </w:tcPr>
          <w:p>
            <w:pPr>
              <w:suppressAutoHyphens w:val="0"/>
              <w:spacing w:line="276" w:lineRule="auto"/>
              <w:rPr>
                <w:rFonts w:hint="eastAsia" w:ascii="仿宋" w:hAnsi="仿宋" w:eastAsia="仿宋" w:cs="宋体"/>
                <w:color w:val="000000"/>
                <w:kern w:val="0"/>
                <w:szCs w:val="21"/>
              </w:rPr>
            </w:pPr>
            <w:r>
              <w:rPr>
                <w:rFonts w:hint="eastAsia" w:ascii="仿宋" w:hAnsi="仿宋" w:eastAsia="仿宋" w:cs="宋体"/>
                <w:color w:val="000000"/>
                <w:kern w:val="0"/>
                <w:szCs w:val="21"/>
              </w:rPr>
              <w:t>综合评分法中的价格分统一采用低价优先法计算，即满足遴选文件要求且价格最低的评审价为评标基准价，其价格分为满分。</w:t>
            </w:r>
          </w:p>
          <w:p>
            <w:pPr>
              <w:suppressAutoHyphens w:val="0"/>
              <w:spacing w:line="276" w:lineRule="auto"/>
              <w:rPr>
                <w:rFonts w:hint="eastAsia" w:ascii="仿宋" w:hAnsi="仿宋" w:eastAsia="仿宋" w:cs="宋体"/>
                <w:color w:val="000000"/>
                <w:kern w:val="0"/>
                <w:szCs w:val="21"/>
              </w:rPr>
            </w:pPr>
            <w:r>
              <w:rPr>
                <w:rFonts w:hint="eastAsia" w:ascii="仿宋" w:hAnsi="仿宋" w:eastAsia="仿宋" w:cs="宋体"/>
                <w:color w:val="000000"/>
                <w:kern w:val="0"/>
                <w:szCs w:val="21"/>
              </w:rPr>
              <w:t>其他供应商的价格分统一按照下列公式计算：价格分数=（基准价/遴选报价）×价格权值（1/10）×100</w:t>
            </w:r>
          </w:p>
          <w:p>
            <w:pPr>
              <w:suppressAutoHyphens w:val="0"/>
              <w:spacing w:line="276" w:lineRule="auto"/>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noWrap w:val="0"/>
            <w:vAlign w:val="center"/>
          </w:tcPr>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hint="eastAsia" w:ascii="仿宋" w:hAnsi="仿宋" w:eastAsia="仿宋" w:cs="宋体"/>
                <w:b/>
                <w:color w:val="000000"/>
                <w:kern w:val="0"/>
                <w:szCs w:val="21"/>
                <w:lang w:eastAsia="zh-CN"/>
              </w:rPr>
            </w:pPr>
            <w:r>
              <w:rPr>
                <w:rFonts w:hint="eastAsia" w:ascii="仿宋" w:hAnsi="仿宋" w:eastAsia="仿宋" w:cs="宋体"/>
                <w:b/>
                <w:color w:val="000000"/>
                <w:kern w:val="0"/>
                <w:szCs w:val="21"/>
                <w:lang w:eastAsia="zh-CN"/>
              </w:rPr>
              <w:t>商务</w:t>
            </w:r>
          </w:p>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w:t>
            </w:r>
            <w:r>
              <w:rPr>
                <w:rFonts w:hint="eastAsia" w:ascii="仿宋" w:hAnsi="仿宋" w:eastAsia="仿宋" w:cs="宋体"/>
                <w:b/>
                <w:color w:val="000000"/>
                <w:kern w:val="0"/>
                <w:szCs w:val="21"/>
                <w:lang w:val="en-US" w:eastAsia="zh-CN"/>
              </w:rPr>
              <w:t>25</w:t>
            </w:r>
            <w:r>
              <w:rPr>
                <w:rFonts w:hint="eastAsia" w:ascii="仿宋" w:hAnsi="仿宋" w:eastAsia="仿宋" w:cs="宋体"/>
                <w:b/>
                <w:color w:val="000000"/>
                <w:kern w:val="0"/>
                <w:szCs w:val="21"/>
              </w:rPr>
              <w:t>分）</w:t>
            </w: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供应商基本情况</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lang w:eastAsia="zh-CN"/>
              </w:rPr>
              <w:t>（</w:t>
            </w:r>
            <w:r>
              <w:rPr>
                <w:rFonts w:hint="eastAsia" w:ascii="仿宋" w:hAnsi="仿宋" w:eastAsia="仿宋" w:cs="宋体"/>
                <w:b/>
                <w:color w:val="000000"/>
                <w:kern w:val="0"/>
                <w:szCs w:val="21"/>
                <w:lang w:val="en-US" w:eastAsia="zh-CN"/>
              </w:rPr>
              <w:t>5分</w:t>
            </w:r>
            <w:r>
              <w:rPr>
                <w:rFonts w:hint="eastAsia" w:ascii="仿宋" w:hAnsi="仿宋" w:eastAsia="仿宋" w:cs="宋体"/>
                <w:b/>
                <w:color w:val="000000"/>
                <w:kern w:val="0"/>
                <w:szCs w:val="21"/>
                <w:lang w:eastAsia="zh-CN"/>
              </w:rPr>
              <w:t>）</w:t>
            </w:r>
          </w:p>
        </w:tc>
        <w:tc>
          <w:tcPr>
            <w:tcW w:w="5355" w:type="dxa"/>
            <w:noWrap w:val="0"/>
            <w:vAlign w:val="center"/>
          </w:tcPr>
          <w:p>
            <w:pPr>
              <w:widowControl/>
              <w:jc w:val="left"/>
              <w:rPr>
                <w:rFonts w:hint="eastAsia" w:ascii="仿宋" w:hAnsi="仿宋" w:eastAsia="仿宋" w:cs="宋体"/>
                <w:color w:val="000000"/>
                <w:kern w:val="0"/>
                <w:sz w:val="21"/>
                <w:szCs w:val="21"/>
                <w:lang w:val="en-US" w:eastAsia="zh-CN" w:bidi="ar-SA"/>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供应商的业绩</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lang w:eastAsia="zh-CN"/>
              </w:rPr>
              <w:t>（</w:t>
            </w:r>
            <w:r>
              <w:rPr>
                <w:rFonts w:hint="eastAsia" w:ascii="仿宋" w:hAnsi="仿宋" w:eastAsia="仿宋" w:cs="宋体"/>
                <w:b/>
                <w:color w:val="000000"/>
                <w:kern w:val="0"/>
                <w:szCs w:val="21"/>
                <w:lang w:val="en-US" w:eastAsia="zh-CN"/>
              </w:rPr>
              <w:t>20分</w:t>
            </w:r>
            <w:r>
              <w:rPr>
                <w:rFonts w:hint="eastAsia" w:ascii="仿宋" w:hAnsi="仿宋" w:eastAsia="仿宋" w:cs="宋体"/>
                <w:b/>
                <w:color w:val="000000"/>
                <w:kern w:val="0"/>
                <w:szCs w:val="21"/>
                <w:lang w:eastAsia="zh-CN"/>
              </w:rPr>
              <w:t>）</w:t>
            </w:r>
          </w:p>
        </w:tc>
        <w:tc>
          <w:tcPr>
            <w:tcW w:w="5355" w:type="dxa"/>
            <w:noWrap w:val="0"/>
            <w:vAlign w:val="center"/>
          </w:tcPr>
          <w:p>
            <w:pPr>
              <w:widowControl/>
              <w:jc w:val="left"/>
              <w:rPr>
                <w:rFonts w:hint="eastAsia" w:ascii="仿宋" w:hAnsi="仿宋" w:eastAsia="仿宋" w:cs="宋体"/>
                <w:color w:val="000000"/>
                <w:kern w:val="0"/>
                <w:sz w:val="21"/>
                <w:szCs w:val="21"/>
                <w:highlight w:val="yellow"/>
                <w:lang w:val="en-US" w:eastAsia="zh-CN" w:bidi="ar-SA"/>
              </w:rPr>
            </w:pPr>
            <w:r>
              <w:rPr>
                <w:rFonts w:hint="eastAsia" w:ascii="仿宋" w:hAnsi="仿宋" w:eastAsia="仿宋" w:cs="宋体"/>
                <w:color w:val="000000"/>
                <w:kern w:val="0"/>
                <w:sz w:val="18"/>
                <w:szCs w:val="18"/>
              </w:rPr>
              <w:t>供应商近三年（2019年1月起至本采购活动遴选公告发布前（以合同签订日期为准））承接过类似服务业绩，每提供1个业绩得5分，最多得20分。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noWrap w:val="0"/>
            <w:vAlign w:val="center"/>
          </w:tcPr>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r>
              <w:rPr>
                <w:rFonts w:hint="eastAsia" w:ascii="仿宋" w:hAnsi="仿宋" w:eastAsia="仿宋" w:cs="宋体"/>
                <w:b/>
                <w:color w:val="000000"/>
                <w:kern w:val="0"/>
                <w:szCs w:val="21"/>
              </w:rPr>
              <w:t>业务部分</w:t>
            </w:r>
          </w:p>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w:t>
            </w:r>
            <w:r>
              <w:rPr>
                <w:rFonts w:hint="eastAsia" w:ascii="仿宋" w:hAnsi="仿宋" w:eastAsia="仿宋" w:cs="宋体"/>
                <w:b/>
                <w:color w:val="000000"/>
                <w:kern w:val="0"/>
                <w:szCs w:val="21"/>
                <w:lang w:val="en-US" w:eastAsia="zh-CN"/>
              </w:rPr>
              <w:t>6</w:t>
            </w:r>
            <w:r>
              <w:rPr>
                <w:rFonts w:hint="eastAsia" w:ascii="仿宋" w:hAnsi="仿宋" w:eastAsia="仿宋" w:cs="宋体"/>
                <w:b/>
                <w:color w:val="000000"/>
                <w:kern w:val="0"/>
                <w:szCs w:val="21"/>
              </w:rPr>
              <w:t>5分）</w:t>
            </w: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项目方案</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w:t>
            </w:r>
            <w:r>
              <w:rPr>
                <w:rFonts w:hint="eastAsia" w:ascii="仿宋" w:hAnsi="仿宋" w:eastAsia="仿宋" w:cs="宋体"/>
                <w:b/>
                <w:color w:val="000000"/>
                <w:kern w:val="0"/>
                <w:szCs w:val="21"/>
                <w:lang w:val="en-US" w:eastAsia="zh-CN"/>
              </w:rPr>
              <w:t>30</w:t>
            </w:r>
            <w:r>
              <w:rPr>
                <w:rFonts w:hint="eastAsia" w:ascii="仿宋" w:hAnsi="仿宋" w:eastAsia="仿宋" w:cs="宋体"/>
                <w:b/>
                <w:color w:val="000000"/>
                <w:kern w:val="0"/>
                <w:szCs w:val="21"/>
              </w:rPr>
              <w:t>分）</w:t>
            </w:r>
          </w:p>
        </w:tc>
        <w:tc>
          <w:tcPr>
            <w:tcW w:w="5355" w:type="dxa"/>
            <w:noWrap w:val="0"/>
            <w:vAlign w:val="center"/>
          </w:tcPr>
          <w:p>
            <w:pPr>
              <w:suppressAutoHyphens w:val="0"/>
              <w:spacing w:line="276" w:lineRule="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18"/>
                <w:szCs w:val="18"/>
                <w:lang w:val="en-US" w:eastAsia="zh-CN"/>
              </w:rPr>
              <w:t>项目方案科学合理性强、内容详细全面，可行性强,得20-30分；项目方案科学合理性较强、内容较为详细全面，可行性较好,得9-19分；项目方案科学合理、内容一般，有可行性,得1-8分；项目方案科学合理较差、内容不充实，可行性差,得0分。</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项目成员配备（</w:t>
            </w:r>
            <w:r>
              <w:rPr>
                <w:rFonts w:hint="eastAsia" w:ascii="仿宋" w:hAnsi="仿宋" w:eastAsia="仿宋" w:cs="宋体"/>
                <w:b/>
                <w:color w:val="000000"/>
                <w:kern w:val="0"/>
                <w:szCs w:val="21"/>
                <w:lang w:val="en-US" w:eastAsia="zh-CN"/>
              </w:rPr>
              <w:t>20</w:t>
            </w:r>
            <w:r>
              <w:rPr>
                <w:rFonts w:hint="eastAsia" w:ascii="仿宋" w:hAnsi="仿宋" w:eastAsia="仿宋" w:cs="宋体"/>
                <w:b/>
                <w:color w:val="000000"/>
                <w:kern w:val="0"/>
                <w:szCs w:val="21"/>
              </w:rPr>
              <w:t>分）</w:t>
            </w:r>
          </w:p>
        </w:tc>
        <w:tc>
          <w:tcPr>
            <w:tcW w:w="5355" w:type="dxa"/>
            <w:noWrap w:val="0"/>
            <w:vAlign w:val="center"/>
          </w:tcPr>
          <w:p>
            <w:pPr>
              <w:suppressAutoHyphens w:val="0"/>
              <w:spacing w:line="276" w:lineRule="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18"/>
                <w:szCs w:val="18"/>
                <w:lang w:val="en-US" w:eastAsia="zh-CN"/>
              </w:rPr>
              <w:t>拟投入本项目团队人员评价：</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（1）类似工作经验丰富，学历（专业）优于/符合要求，分工明确，与项目实际契合度高，得17-20分；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（2）类似工作经验较丰富，学历（专业）符合要求，分工较明确，与项目实际契合度较高，得10-16分；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（3）类似工作经验一般，学历（专业）基本满足要求，分工一般，与项目实际契合度一般，得5-9分；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（4）类似工作经验较差，学历（专业）较差，分工不明确，无法满足实际需要，得0分。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注：需提供项目团队人员劳动合同复印件、工作简历、学历证书复印件。</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经费管理</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（5分）</w:t>
            </w:r>
          </w:p>
        </w:tc>
        <w:tc>
          <w:tcPr>
            <w:tcW w:w="5355" w:type="dxa"/>
            <w:noWrap w:val="0"/>
            <w:vAlign w:val="center"/>
          </w:tcPr>
          <w:p>
            <w:pPr>
              <w:suppressAutoHyphens w:val="0"/>
              <w:spacing w:line="276" w:lineRule="auto"/>
              <w:rPr>
                <w:rFonts w:ascii="仿宋" w:hAnsi="仿宋" w:eastAsia="仿宋" w:cs="宋体"/>
                <w:color w:val="000000"/>
                <w:kern w:val="0"/>
                <w:szCs w:val="21"/>
              </w:rPr>
            </w:pPr>
            <w:r>
              <w:rPr>
                <w:rFonts w:hint="eastAsia" w:ascii="仿宋" w:hAnsi="仿宋" w:eastAsia="仿宋" w:cs="宋体"/>
                <w:color w:val="000000"/>
                <w:kern w:val="0"/>
                <w:szCs w:val="21"/>
              </w:rPr>
              <w:t>（1）提供资金使用安全性的说明文件，且安排财务部门专人负责本项目经费的管理得5分。</w:t>
            </w:r>
          </w:p>
          <w:p>
            <w:pPr>
              <w:suppressAutoHyphens w:val="0"/>
              <w:spacing w:line="276" w:lineRule="auto"/>
              <w:rPr>
                <w:rFonts w:hint="eastAsia" w:ascii="仿宋" w:hAnsi="仿宋" w:eastAsia="仿宋" w:cs="宋体"/>
                <w:color w:val="000000"/>
                <w:kern w:val="0"/>
                <w:sz w:val="21"/>
                <w:szCs w:val="21"/>
                <w:lang w:val="en-US" w:eastAsia="zh-CN" w:bidi="ar-SA"/>
              </w:rPr>
            </w:pPr>
            <w:r>
              <w:rPr>
                <w:rFonts w:ascii="仿宋" w:hAnsi="仿宋" w:eastAsia="仿宋" w:cs="宋体"/>
                <w:color w:val="000000"/>
                <w:kern w:val="0"/>
                <w:szCs w:val="21"/>
              </w:rPr>
              <w:t>（</w:t>
            </w:r>
            <w:r>
              <w:rPr>
                <w:rFonts w:hint="eastAsia" w:ascii="仿宋" w:hAnsi="仿宋" w:eastAsia="仿宋" w:cs="宋体"/>
                <w:color w:val="000000"/>
                <w:kern w:val="0"/>
                <w:szCs w:val="21"/>
              </w:rPr>
              <w:t>2</w:t>
            </w:r>
            <w:r>
              <w:rPr>
                <w:rFonts w:ascii="仿宋" w:hAnsi="仿宋" w:eastAsia="仿宋" w:cs="宋体"/>
                <w:color w:val="000000"/>
                <w:kern w:val="0"/>
                <w:szCs w:val="21"/>
              </w:rPr>
              <w:t>）未</w:t>
            </w:r>
            <w:r>
              <w:rPr>
                <w:rFonts w:hint="eastAsia" w:ascii="仿宋" w:hAnsi="仿宋" w:eastAsia="仿宋" w:cs="宋体"/>
                <w:color w:val="000000"/>
                <w:kern w:val="0"/>
                <w:szCs w:val="21"/>
              </w:rPr>
              <w:t>提供资金使用安全性的说明文件，或</w:t>
            </w:r>
            <w:r>
              <w:rPr>
                <w:rFonts w:hint="eastAsia" w:ascii="仿宋" w:hAnsi="仿宋" w:eastAsia="仿宋" w:cs="宋体"/>
                <w:color w:val="000000"/>
                <w:kern w:val="0"/>
                <w:szCs w:val="21"/>
                <w:lang w:eastAsia="zh-CN"/>
              </w:rPr>
              <w:t>未</w:t>
            </w:r>
            <w:r>
              <w:rPr>
                <w:rFonts w:hint="eastAsia" w:ascii="仿宋" w:hAnsi="仿宋" w:eastAsia="仿宋" w:cs="宋体"/>
                <w:color w:val="000000"/>
                <w:kern w:val="0"/>
                <w:szCs w:val="21"/>
              </w:rPr>
              <w:t>安排财务部门专人负责项目经费管理得0分。</w:t>
            </w:r>
          </w:p>
        </w:tc>
        <w:tc>
          <w:tcPr>
            <w:tcW w:w="735" w:type="dxa"/>
            <w:noWrap w:val="0"/>
            <w:vAlign w:val="center"/>
          </w:tcPr>
          <w:p>
            <w:pPr>
              <w:suppressAutoHyphens w:val="0"/>
              <w:spacing w:line="276" w:lineRule="auto"/>
              <w:jc w:val="center"/>
              <w:rPr>
                <w:rFonts w:hint="eastAsia"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服务承诺</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lang w:eastAsia="zh-CN"/>
              </w:rPr>
              <w:t>（</w:t>
            </w:r>
            <w:r>
              <w:rPr>
                <w:rFonts w:hint="eastAsia" w:ascii="仿宋" w:hAnsi="仿宋" w:eastAsia="仿宋" w:cs="宋体"/>
                <w:b/>
                <w:color w:val="000000"/>
                <w:kern w:val="0"/>
                <w:szCs w:val="21"/>
                <w:lang w:val="en-US" w:eastAsia="zh-CN"/>
              </w:rPr>
              <w:t>10分</w:t>
            </w:r>
            <w:r>
              <w:rPr>
                <w:rFonts w:hint="eastAsia" w:ascii="仿宋" w:hAnsi="仿宋" w:eastAsia="仿宋" w:cs="宋体"/>
                <w:b/>
                <w:color w:val="000000"/>
                <w:kern w:val="0"/>
                <w:szCs w:val="21"/>
                <w:lang w:eastAsia="zh-CN"/>
              </w:rPr>
              <w:t>）</w:t>
            </w:r>
          </w:p>
        </w:tc>
        <w:tc>
          <w:tcPr>
            <w:tcW w:w="5355" w:type="dxa"/>
            <w:noWrap w:val="0"/>
            <w:vAlign w:val="center"/>
          </w:tcPr>
          <w:p>
            <w:pPr>
              <w:widowControl/>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18"/>
                <w:szCs w:val="18"/>
                <w:lang w:val="en-US" w:eastAsia="zh-CN"/>
              </w:rPr>
              <w:t>供应商须提供沟通机制，内容包括①服务人员安排②沟通方案，要求有专人定期沟通，配合。优秀的，得</w:t>
            </w:r>
            <w:r>
              <w:rPr>
                <w:rFonts w:hint="default" w:ascii="仿宋" w:hAnsi="仿宋" w:eastAsia="仿宋" w:cs="宋体"/>
                <w:color w:val="000000"/>
                <w:kern w:val="0"/>
                <w:sz w:val="18"/>
                <w:szCs w:val="18"/>
                <w:lang w:val="en-US" w:eastAsia="zh-CN"/>
              </w:rPr>
              <w:t>7-10</w:t>
            </w:r>
            <w:r>
              <w:rPr>
                <w:rFonts w:hint="eastAsia" w:ascii="仿宋" w:hAnsi="仿宋" w:eastAsia="仿宋" w:cs="宋体"/>
                <w:color w:val="000000"/>
                <w:kern w:val="0"/>
                <w:sz w:val="18"/>
                <w:szCs w:val="18"/>
                <w:lang w:val="en-US" w:eastAsia="zh-CN"/>
              </w:rPr>
              <w:t>分；良好的，得</w:t>
            </w:r>
            <w:r>
              <w:rPr>
                <w:rFonts w:hint="default" w:ascii="仿宋" w:hAnsi="仿宋" w:eastAsia="仿宋" w:cs="宋体"/>
                <w:color w:val="000000"/>
                <w:kern w:val="0"/>
                <w:sz w:val="18"/>
                <w:szCs w:val="18"/>
                <w:lang w:val="en-US" w:eastAsia="zh-CN"/>
              </w:rPr>
              <w:t>4-6</w:t>
            </w:r>
            <w:r>
              <w:rPr>
                <w:rFonts w:hint="eastAsia" w:ascii="仿宋" w:hAnsi="仿宋" w:eastAsia="仿宋" w:cs="宋体"/>
                <w:color w:val="000000"/>
                <w:kern w:val="0"/>
                <w:sz w:val="18"/>
                <w:szCs w:val="18"/>
                <w:lang w:val="en-US" w:eastAsia="zh-CN"/>
              </w:rPr>
              <w:t>分；一般的，得</w:t>
            </w:r>
            <w:r>
              <w:rPr>
                <w:rFonts w:hint="default" w:ascii="仿宋" w:hAnsi="仿宋" w:eastAsia="仿宋" w:cs="宋体"/>
                <w:color w:val="000000"/>
                <w:kern w:val="0"/>
                <w:sz w:val="18"/>
                <w:szCs w:val="18"/>
                <w:lang w:val="en-US" w:eastAsia="zh-CN"/>
              </w:rPr>
              <w:t>1-3</w:t>
            </w:r>
            <w:r>
              <w:rPr>
                <w:rFonts w:hint="eastAsia" w:ascii="仿宋" w:hAnsi="仿宋" w:eastAsia="仿宋" w:cs="宋体"/>
                <w:color w:val="000000"/>
                <w:kern w:val="0"/>
                <w:sz w:val="18"/>
                <w:szCs w:val="18"/>
                <w:lang w:val="en-US" w:eastAsia="zh-CN"/>
              </w:rPr>
              <w:t>分；较差的，得</w:t>
            </w:r>
            <w:r>
              <w:rPr>
                <w:rFonts w:hint="default" w:ascii="仿宋" w:hAnsi="仿宋" w:eastAsia="仿宋" w:cs="宋体"/>
                <w:color w:val="000000"/>
                <w:kern w:val="0"/>
                <w:sz w:val="18"/>
                <w:szCs w:val="18"/>
                <w:lang w:val="en-US" w:eastAsia="zh-CN"/>
              </w:rPr>
              <w:t>0</w:t>
            </w:r>
            <w:r>
              <w:rPr>
                <w:rFonts w:hint="eastAsia" w:ascii="仿宋" w:hAnsi="仿宋" w:eastAsia="仿宋" w:cs="宋体"/>
                <w:color w:val="000000"/>
                <w:kern w:val="0"/>
                <w:sz w:val="18"/>
                <w:szCs w:val="18"/>
                <w:lang w:val="en-US" w:eastAsia="zh-CN"/>
              </w:rPr>
              <w:t>分。</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10</w:t>
            </w:r>
            <w:bookmarkStart w:id="0" w:name="_GoBack"/>
            <w:bookmarkEnd w:id="0"/>
          </w:p>
        </w:tc>
      </w:tr>
    </w:tbl>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975EE"/>
    <w:rsid w:val="006F7B9A"/>
    <w:rsid w:val="0072607C"/>
    <w:rsid w:val="007A7660"/>
    <w:rsid w:val="008A2C42"/>
    <w:rsid w:val="0099485C"/>
    <w:rsid w:val="00B33D64"/>
    <w:rsid w:val="00B927D3"/>
    <w:rsid w:val="00BA4C9E"/>
    <w:rsid w:val="00C93AE2"/>
    <w:rsid w:val="00CA49E3"/>
    <w:rsid w:val="00D875C2"/>
    <w:rsid w:val="00DB1122"/>
    <w:rsid w:val="00FF1677"/>
    <w:rsid w:val="4BEF5F9E"/>
    <w:rsid w:val="534A4F32"/>
    <w:rsid w:val="ADBB19D4"/>
    <w:rsid w:val="D7FFFEB3"/>
    <w:rsid w:val="EFEEB3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Indent"/>
    <w:basedOn w:val="1"/>
    <w:qFormat/>
    <w:uiPriority w:val="0"/>
    <w:pPr>
      <w:ind w:firstLine="560" w:firstLineChars="200"/>
    </w:pPr>
    <w:rPr>
      <w:sz w:val="28"/>
    </w:r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unhideWhenUsed/>
    <w:qFormat/>
    <w:uiPriority w:val="99"/>
    <w:rPr>
      <w:b/>
      <w:bCs/>
    </w:rPr>
  </w:style>
  <w:style w:type="paragraph" w:styleId="9">
    <w:name w:val="Body Text First Indent 2"/>
    <w:basedOn w:val="4"/>
    <w:qFormat/>
    <w:uiPriority w:val="0"/>
    <w:pPr>
      <w:ind w:firstLine="420" w:firstLineChars="200"/>
    </w:p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3"/>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5"/>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Words>
  <Characters>1876</Characters>
  <Lines>15</Lines>
  <Paragraphs>4</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2022-04-19T20:00:00Z</dcterms:created>
  <dc:creator>强文晓</dc:creator>
  <cp:lastModifiedBy>admin</cp:lastModifiedBy>
  <dcterms:modified xsi:type="dcterms:W3CDTF">2022-10-09T13:15:41Z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