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val="0"/>
        <w:snapToGrid w:val="0"/>
        <w:spacing w:after="0" w:line="600" w:lineRule="exact"/>
        <w:jc w:val="center"/>
        <w:textAlignment w:val="auto"/>
        <w:rPr>
          <w:rFonts w:hint="eastAsia" w:ascii="方正小标宋简体" w:hAnsi="方正小标宋简体" w:eastAsia="方正小标宋简体" w:cs="方正小标宋简体"/>
          <w:kern w:val="2"/>
          <w:sz w:val="44"/>
          <w:szCs w:val="44"/>
          <w:lang w:eastAsia="zh-CN"/>
        </w:rPr>
      </w:pPr>
      <w:r>
        <w:rPr>
          <w:rFonts w:hint="eastAsia" w:ascii="方正小标宋简体" w:hAnsi="方正小标宋简体" w:eastAsia="方正小标宋简体" w:cs="方正小标宋简体"/>
          <w:kern w:val="2"/>
          <w:sz w:val="44"/>
          <w:szCs w:val="44"/>
          <w:lang w:eastAsia="zh-CN"/>
        </w:rPr>
        <w:t>附件</w:t>
      </w:r>
      <w:r>
        <w:rPr>
          <w:rFonts w:hint="eastAsia" w:ascii="方正小标宋简体" w:hAnsi="方正小标宋简体" w:eastAsia="方正小标宋简体" w:cs="方正小标宋简体"/>
          <w:kern w:val="2"/>
          <w:sz w:val="44"/>
          <w:szCs w:val="44"/>
          <w:lang w:val="en-US" w:eastAsia="zh-CN"/>
        </w:rPr>
        <w:t>2：</w:t>
      </w:r>
      <w:r>
        <w:rPr>
          <w:rFonts w:hint="eastAsia" w:ascii="方正小标宋简体" w:hAnsi="方正小标宋简体" w:eastAsia="方正小标宋简体" w:cs="方正小标宋简体"/>
          <w:kern w:val="2"/>
          <w:sz w:val="44"/>
          <w:szCs w:val="44"/>
          <w:lang w:eastAsia="zh-CN"/>
        </w:rPr>
        <w:t>吉林市居家和社区养老服务信息平台服务内容及要求</w:t>
      </w:r>
    </w:p>
    <w:p>
      <w:pPr>
        <w:keepNext w:val="0"/>
        <w:keepLines w:val="0"/>
        <w:pageBreakBefore w:val="0"/>
        <w:widowControl w:val="0"/>
        <w:kinsoku/>
        <w:wordWrap/>
        <w:overflowPunct/>
        <w:topLinePunct w:val="0"/>
        <w:autoSpaceDE/>
        <w:autoSpaceDN/>
        <w:bidi w:val="0"/>
        <w:adjustRightInd w:val="0"/>
        <w:snapToGrid w:val="0"/>
        <w:spacing w:after="0" w:line="600" w:lineRule="exact"/>
        <w:jc w:val="left"/>
        <w:textAlignment w:val="auto"/>
        <w:rPr>
          <w:rFonts w:hint="eastAsia" w:ascii="仿宋_GB2312" w:hAnsi="仿宋_GB2312" w:eastAsia="仿宋_GB2312" w:cs="仿宋_GB2312"/>
          <w:kern w:val="2"/>
          <w:sz w:val="32"/>
          <w:szCs w:val="32"/>
          <w:lang w:val="en-US" w:eastAsia="zh-CN"/>
        </w:rPr>
      </w:pPr>
      <w:r>
        <w:rPr>
          <w:rFonts w:hint="eastAsia" w:ascii="仿宋_GB2312" w:hAnsi="仿宋_GB2312" w:eastAsia="仿宋_GB2312" w:cs="仿宋_GB2312"/>
          <w:kern w:val="2"/>
          <w:sz w:val="32"/>
          <w:szCs w:val="32"/>
          <w:lang w:val="en-US" w:eastAsia="zh-CN"/>
        </w:rPr>
        <w:t xml:space="preserve">  </w:t>
      </w:r>
    </w:p>
    <w:p>
      <w:pPr>
        <w:keepNext w:val="0"/>
        <w:keepLines w:val="0"/>
        <w:pageBreakBefore w:val="0"/>
        <w:widowControl w:val="0"/>
        <w:kinsoku/>
        <w:wordWrap/>
        <w:overflowPunct/>
        <w:topLinePunct w:val="0"/>
        <w:autoSpaceDE/>
        <w:autoSpaceDN/>
        <w:bidi w:val="0"/>
        <w:adjustRightInd w:val="0"/>
        <w:snapToGrid w:val="0"/>
        <w:spacing w:after="0" w:line="360" w:lineRule="auto"/>
        <w:ind w:firstLine="640" w:firstLineChars="200"/>
        <w:jc w:val="left"/>
        <w:textAlignment w:val="auto"/>
        <w:rPr>
          <w:rFonts w:hint="eastAsia" w:ascii="仿宋_GB2312" w:hAnsi="仿宋_GB2312" w:eastAsia="仿宋_GB2312" w:cs="仿宋_GB2312"/>
          <w:color w:val="auto"/>
          <w:kern w:val="2"/>
          <w:sz w:val="32"/>
          <w:szCs w:val="32"/>
          <w:lang w:eastAsia="zh-CN"/>
        </w:rPr>
      </w:pPr>
      <w:r>
        <w:rPr>
          <w:rFonts w:hint="eastAsia" w:ascii="仿宋_GB2312" w:hAnsi="仿宋_GB2312" w:eastAsia="仿宋_GB2312" w:cs="仿宋_GB2312"/>
          <w:color w:val="auto"/>
          <w:kern w:val="2"/>
          <w:sz w:val="32"/>
          <w:szCs w:val="32"/>
          <w:lang w:eastAsia="zh-CN"/>
        </w:rPr>
        <w:t>吉林市居家和社区养老服务信息平台采购服务内容及要求如下：</w:t>
      </w:r>
    </w:p>
    <w:p>
      <w:pPr>
        <w:keepNext w:val="0"/>
        <w:keepLines w:val="0"/>
        <w:pageBreakBefore w:val="0"/>
        <w:widowControl/>
        <w:kinsoku/>
        <w:wordWrap/>
        <w:overflowPunct/>
        <w:topLinePunct w:val="0"/>
        <w:autoSpaceDE/>
        <w:autoSpaceDN/>
        <w:bidi w:val="0"/>
        <w:adjustRightInd w:val="0"/>
        <w:snapToGrid w:val="0"/>
        <w:spacing w:after="0" w:line="360" w:lineRule="auto"/>
        <w:ind w:firstLine="640" w:firstLineChars="200"/>
        <w:jc w:val="both"/>
        <w:textAlignment w:val="auto"/>
        <w:rPr>
          <w:rFonts w:hint="eastAsia" w:ascii="黑体" w:hAnsi="黑体" w:eastAsia="黑体" w:cs="黑体"/>
          <w:color w:val="auto"/>
          <w:sz w:val="32"/>
          <w:szCs w:val="32"/>
        </w:rPr>
      </w:pPr>
      <w:r>
        <w:rPr>
          <w:rFonts w:hint="eastAsia" w:ascii="黑体" w:hAnsi="黑体" w:eastAsia="黑体" w:cs="黑体"/>
          <w:color w:val="auto"/>
          <w:sz w:val="32"/>
          <w:szCs w:val="32"/>
          <w:lang w:eastAsia="zh-CN"/>
        </w:rPr>
        <w:t>一、</w:t>
      </w:r>
      <w:r>
        <w:rPr>
          <w:rFonts w:hint="eastAsia" w:ascii="黑体" w:hAnsi="黑体" w:eastAsia="黑体" w:cs="黑体"/>
          <w:color w:val="auto"/>
          <w:sz w:val="32"/>
          <w:szCs w:val="32"/>
        </w:rPr>
        <w:t>项目建设目标</w:t>
      </w:r>
    </w:p>
    <w:p>
      <w:pPr>
        <w:keepNext w:val="0"/>
        <w:keepLines w:val="0"/>
        <w:pageBreakBefore w:val="0"/>
        <w:widowControl/>
        <w:kinsoku/>
        <w:wordWrap/>
        <w:overflowPunct/>
        <w:topLinePunct w:val="0"/>
        <w:autoSpaceDE/>
        <w:autoSpaceDN/>
        <w:bidi w:val="0"/>
        <w:adjustRightInd w:val="0"/>
        <w:snapToGrid w:val="0"/>
        <w:spacing w:line="360" w:lineRule="auto"/>
        <w:ind w:firstLine="640" w:firstLineChars="200"/>
        <w:jc w:val="both"/>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探索多种模式的“互联网+”居家和社区养老服务模式和智能养老技术应用，促进供需双方对接，为老年人提供质优价廉、形式多样的服务。</w:t>
      </w:r>
    </w:p>
    <w:p>
      <w:pPr>
        <w:keepNext w:val="0"/>
        <w:keepLines w:val="0"/>
        <w:pageBreakBefore w:val="0"/>
        <w:widowControl/>
        <w:kinsoku/>
        <w:wordWrap/>
        <w:overflowPunct/>
        <w:topLinePunct w:val="0"/>
        <w:autoSpaceDE/>
        <w:autoSpaceDN/>
        <w:bidi w:val="0"/>
        <w:adjustRightInd w:val="0"/>
        <w:snapToGrid w:val="0"/>
        <w:spacing w:after="0" w:line="360" w:lineRule="auto"/>
        <w:ind w:firstLine="640" w:firstLineChars="200"/>
        <w:jc w:val="both"/>
        <w:textAlignment w:val="auto"/>
        <w:rPr>
          <w:rFonts w:hint="eastAsia" w:ascii="黑体" w:hAnsi="黑体" w:eastAsia="黑体" w:cs="黑体"/>
          <w:color w:val="auto"/>
          <w:sz w:val="32"/>
          <w:szCs w:val="32"/>
        </w:rPr>
      </w:pPr>
      <w:r>
        <w:rPr>
          <w:rFonts w:hint="eastAsia" w:ascii="黑体" w:hAnsi="黑体" w:eastAsia="黑体" w:cs="黑体"/>
          <w:color w:val="auto"/>
          <w:sz w:val="32"/>
          <w:szCs w:val="32"/>
          <w:lang w:val="en-US" w:eastAsia="zh-CN"/>
        </w:rPr>
        <w:t>二、</w:t>
      </w:r>
      <w:r>
        <w:rPr>
          <w:rFonts w:hint="eastAsia" w:ascii="黑体" w:hAnsi="黑体" w:eastAsia="黑体" w:cs="黑体"/>
          <w:color w:val="auto"/>
          <w:sz w:val="32"/>
          <w:szCs w:val="32"/>
        </w:rPr>
        <w:t>项目规模</w:t>
      </w:r>
    </w:p>
    <w:p>
      <w:pPr>
        <w:keepNext w:val="0"/>
        <w:keepLines w:val="0"/>
        <w:pageBreakBefore w:val="0"/>
        <w:kinsoku/>
        <w:wordWrap/>
        <w:overflowPunct/>
        <w:topLinePunct w:val="0"/>
        <w:autoSpaceDE/>
        <w:autoSpaceDN/>
        <w:bidi w:val="0"/>
        <w:adjustRightInd w:val="0"/>
        <w:snapToGrid w:val="0"/>
        <w:spacing w:line="360" w:lineRule="auto"/>
        <w:ind w:firstLine="640" w:firstLineChars="200"/>
        <w:jc w:val="both"/>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rPr>
        <w:t>项目规模要能够覆盖以下用户，并保证其功能需求和性能需求</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覆盖全市民政机关</w:t>
      </w:r>
      <w:r>
        <w:rPr>
          <w:rFonts w:hint="eastAsia" w:ascii="仿宋_GB2312" w:hAnsi="仿宋_GB2312" w:eastAsia="仿宋_GB2312" w:cs="仿宋_GB2312"/>
          <w:color w:val="auto"/>
          <w:sz w:val="32"/>
          <w:szCs w:val="32"/>
          <w:lang w:eastAsia="zh-CN"/>
        </w:rPr>
        <w:t>，乡镇（街道）、村（</w:t>
      </w:r>
      <w:r>
        <w:rPr>
          <w:rFonts w:hint="eastAsia" w:ascii="仿宋_GB2312" w:hAnsi="仿宋_GB2312" w:eastAsia="仿宋_GB2312" w:cs="仿宋_GB2312"/>
          <w:color w:val="auto"/>
          <w:sz w:val="32"/>
          <w:szCs w:val="32"/>
        </w:rPr>
        <w:t>社区</w:t>
      </w:r>
      <w:r>
        <w:rPr>
          <w:rFonts w:hint="eastAsia" w:ascii="仿宋_GB2312" w:hAnsi="仿宋_GB2312" w:eastAsia="仿宋_GB2312" w:cs="仿宋_GB2312"/>
          <w:color w:val="auto"/>
          <w:sz w:val="32"/>
          <w:szCs w:val="32"/>
          <w:lang w:eastAsia="zh-CN"/>
        </w:rPr>
        <w:t>），为老年人提供服务的</w:t>
      </w:r>
      <w:r>
        <w:rPr>
          <w:rFonts w:hint="eastAsia" w:ascii="仿宋_GB2312" w:hAnsi="仿宋_GB2312" w:eastAsia="仿宋_GB2312" w:cs="仿宋_GB2312"/>
          <w:color w:val="auto"/>
          <w:sz w:val="32"/>
          <w:szCs w:val="32"/>
        </w:rPr>
        <w:t>商户和居家养老服务</w:t>
      </w:r>
      <w:r>
        <w:rPr>
          <w:rFonts w:hint="eastAsia" w:ascii="仿宋_GB2312" w:hAnsi="仿宋_GB2312" w:eastAsia="仿宋_GB2312" w:cs="仿宋_GB2312"/>
          <w:color w:val="auto"/>
          <w:sz w:val="32"/>
          <w:szCs w:val="32"/>
          <w:lang w:eastAsia="zh-CN"/>
        </w:rPr>
        <w:t>人员、志愿者，</w:t>
      </w:r>
      <w:r>
        <w:rPr>
          <w:rFonts w:hint="eastAsia" w:ascii="仿宋_GB2312" w:hAnsi="仿宋_GB2312" w:eastAsia="仿宋_GB2312" w:cs="仿宋_GB2312"/>
          <w:color w:val="auto"/>
          <w:sz w:val="32"/>
          <w:szCs w:val="32"/>
        </w:rPr>
        <w:t>养老</w:t>
      </w:r>
      <w:r>
        <w:rPr>
          <w:rFonts w:hint="eastAsia" w:ascii="仿宋_GB2312" w:hAnsi="仿宋_GB2312" w:eastAsia="仿宋_GB2312" w:cs="仿宋_GB2312"/>
          <w:color w:val="auto"/>
          <w:sz w:val="32"/>
          <w:szCs w:val="32"/>
          <w:lang w:eastAsia="zh-CN"/>
        </w:rPr>
        <w:t>服务</w:t>
      </w:r>
      <w:r>
        <w:rPr>
          <w:rFonts w:hint="eastAsia" w:ascii="仿宋_GB2312" w:hAnsi="仿宋_GB2312" w:eastAsia="仿宋_GB2312" w:cs="仿宋_GB2312"/>
          <w:color w:val="auto"/>
          <w:sz w:val="32"/>
          <w:szCs w:val="32"/>
        </w:rPr>
        <w:t>机构</w:t>
      </w:r>
      <w:r>
        <w:rPr>
          <w:rFonts w:hint="eastAsia" w:ascii="仿宋_GB2312" w:hAnsi="仿宋_GB2312" w:eastAsia="仿宋_GB2312" w:cs="仿宋_GB2312"/>
          <w:color w:val="auto"/>
          <w:sz w:val="32"/>
          <w:szCs w:val="32"/>
          <w:lang w:eastAsia="zh-CN"/>
        </w:rPr>
        <w:t>，有服务需求的</w:t>
      </w:r>
      <w:r>
        <w:rPr>
          <w:rFonts w:hint="eastAsia" w:ascii="仿宋_GB2312" w:hAnsi="仿宋_GB2312" w:eastAsia="仿宋_GB2312" w:cs="仿宋_GB2312"/>
          <w:color w:val="auto"/>
          <w:sz w:val="32"/>
          <w:szCs w:val="32"/>
        </w:rPr>
        <w:t>60岁以上老年人及监护人</w:t>
      </w:r>
      <w:r>
        <w:rPr>
          <w:rFonts w:hint="eastAsia" w:ascii="仿宋_GB2312" w:hAnsi="仿宋_GB2312" w:eastAsia="仿宋_GB2312" w:cs="仿宋_GB2312"/>
          <w:color w:val="auto"/>
          <w:sz w:val="32"/>
          <w:szCs w:val="32"/>
          <w:lang w:eastAsia="zh-CN"/>
        </w:rPr>
        <w:t>等。</w:t>
      </w:r>
    </w:p>
    <w:p>
      <w:pPr>
        <w:keepNext w:val="0"/>
        <w:keepLines w:val="0"/>
        <w:pageBreakBefore w:val="0"/>
        <w:widowControl/>
        <w:kinsoku/>
        <w:wordWrap/>
        <w:overflowPunct/>
        <w:topLinePunct w:val="0"/>
        <w:autoSpaceDE/>
        <w:autoSpaceDN/>
        <w:bidi w:val="0"/>
        <w:adjustRightInd w:val="0"/>
        <w:snapToGrid w:val="0"/>
        <w:spacing w:after="0" w:line="360" w:lineRule="auto"/>
        <w:ind w:firstLine="640" w:firstLineChars="200"/>
        <w:jc w:val="both"/>
        <w:textAlignment w:val="auto"/>
        <w:rPr>
          <w:rFonts w:hint="eastAsia" w:ascii="黑体" w:hAnsi="黑体" w:eastAsia="黑体" w:cs="黑体"/>
          <w:color w:val="auto"/>
          <w:sz w:val="32"/>
          <w:szCs w:val="32"/>
        </w:rPr>
      </w:pPr>
      <w:r>
        <w:rPr>
          <w:rFonts w:hint="eastAsia" w:ascii="黑体" w:hAnsi="黑体" w:eastAsia="黑体" w:cs="黑体"/>
          <w:color w:val="auto"/>
          <w:sz w:val="32"/>
          <w:szCs w:val="32"/>
          <w:lang w:val="en-US" w:eastAsia="zh-CN"/>
        </w:rPr>
        <w:t>三、</w:t>
      </w:r>
      <w:r>
        <w:rPr>
          <w:rFonts w:hint="eastAsia" w:ascii="黑体" w:hAnsi="黑体" w:eastAsia="黑体" w:cs="黑体"/>
          <w:color w:val="auto"/>
          <w:sz w:val="32"/>
          <w:szCs w:val="32"/>
        </w:rPr>
        <w:t>项目内容</w:t>
      </w:r>
    </w:p>
    <w:p>
      <w:pPr>
        <w:keepNext w:val="0"/>
        <w:keepLines w:val="0"/>
        <w:pageBreakBefore w:val="0"/>
        <w:widowControl/>
        <w:kinsoku/>
        <w:wordWrap/>
        <w:overflowPunct/>
        <w:topLinePunct w:val="0"/>
        <w:autoSpaceDE/>
        <w:autoSpaceDN/>
        <w:bidi w:val="0"/>
        <w:adjustRightInd w:val="0"/>
        <w:snapToGrid w:val="0"/>
        <w:spacing w:after="0" w:line="360" w:lineRule="auto"/>
        <w:ind w:firstLine="640" w:firstLineChars="200"/>
        <w:jc w:val="both"/>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重点建设和运行社区养老系统，老年人（监护人）服务系统，商户（社会助老站点）、志愿者服务系统，养老机构服务系统，居家养老网站，民政监管服务系统等6大服务系统。6大服务系统要根据</w:t>
      </w:r>
      <w:r>
        <w:rPr>
          <w:rFonts w:hint="eastAsia" w:ascii="仿宋_GB2312" w:hAnsi="仿宋_GB2312" w:eastAsia="仿宋_GB2312" w:cs="仿宋_GB2312"/>
          <w:color w:val="auto"/>
          <w:sz w:val="32"/>
          <w:szCs w:val="32"/>
          <w:lang w:eastAsia="zh-CN"/>
        </w:rPr>
        <w:t>使</w:t>
      </w:r>
      <w:r>
        <w:rPr>
          <w:rFonts w:hint="eastAsia" w:ascii="仿宋_GB2312" w:hAnsi="仿宋_GB2312" w:eastAsia="仿宋_GB2312" w:cs="仿宋_GB2312"/>
          <w:color w:val="auto"/>
          <w:sz w:val="32"/>
          <w:szCs w:val="32"/>
        </w:rPr>
        <w:t>用对象和业务需求，支持PC端、APP端</w:t>
      </w:r>
      <w:r>
        <w:rPr>
          <w:rFonts w:hint="eastAsia" w:ascii="仿宋_GB2312" w:hAnsi="仿宋_GB2312" w:eastAsia="仿宋_GB2312" w:cs="仿宋_GB2312"/>
          <w:color w:val="auto"/>
          <w:sz w:val="32"/>
          <w:szCs w:val="32"/>
          <w:lang w:eastAsia="zh-CN"/>
        </w:rPr>
        <w:t>，具体功能如下</w:t>
      </w:r>
      <w:r>
        <w:rPr>
          <w:rFonts w:hint="eastAsia" w:ascii="仿宋_GB2312" w:hAnsi="仿宋_GB2312" w:eastAsia="仿宋_GB2312" w:cs="仿宋_GB2312"/>
          <w:color w:val="auto"/>
          <w:sz w:val="32"/>
          <w:szCs w:val="32"/>
        </w:rPr>
        <w:t>：</w:t>
      </w:r>
    </w:p>
    <w:p>
      <w:pPr>
        <w:keepNext w:val="0"/>
        <w:keepLines w:val="0"/>
        <w:pageBreakBefore w:val="0"/>
        <w:widowControl/>
        <w:kinsoku/>
        <w:wordWrap/>
        <w:overflowPunct/>
        <w:topLinePunct w:val="0"/>
        <w:autoSpaceDE/>
        <w:autoSpaceDN/>
        <w:bidi w:val="0"/>
        <w:adjustRightInd w:val="0"/>
        <w:snapToGrid w:val="0"/>
        <w:spacing w:after="0" w:line="360" w:lineRule="auto"/>
        <w:ind w:firstLine="640" w:firstLineChars="200"/>
        <w:jc w:val="both"/>
        <w:textAlignment w:val="auto"/>
        <w:rPr>
          <w:rFonts w:hint="eastAsia" w:ascii="楷体" w:hAnsi="楷体" w:eastAsia="楷体" w:cs="楷体"/>
          <w:color w:val="auto"/>
          <w:sz w:val="32"/>
          <w:szCs w:val="32"/>
        </w:rPr>
      </w:pPr>
      <w:r>
        <w:rPr>
          <w:rFonts w:hint="eastAsia" w:ascii="楷体" w:hAnsi="楷体" w:eastAsia="楷体" w:cs="楷体"/>
          <w:color w:val="auto"/>
          <w:sz w:val="32"/>
          <w:szCs w:val="32"/>
          <w:lang w:eastAsia="zh-CN"/>
        </w:rPr>
        <w:t>（一）</w:t>
      </w:r>
      <w:r>
        <w:rPr>
          <w:rFonts w:hint="eastAsia" w:ascii="楷体" w:hAnsi="楷体" w:eastAsia="楷体" w:cs="楷体"/>
          <w:color w:val="auto"/>
          <w:sz w:val="32"/>
          <w:szCs w:val="32"/>
        </w:rPr>
        <w:t>社区养老系统</w:t>
      </w:r>
    </w:p>
    <w:p>
      <w:pPr>
        <w:keepNext w:val="0"/>
        <w:keepLines w:val="0"/>
        <w:pageBreakBefore w:val="0"/>
        <w:widowControl/>
        <w:kinsoku/>
        <w:wordWrap/>
        <w:overflowPunct/>
        <w:topLinePunct w:val="0"/>
        <w:autoSpaceDE/>
        <w:autoSpaceDN/>
        <w:bidi w:val="0"/>
        <w:adjustRightInd w:val="0"/>
        <w:snapToGrid w:val="0"/>
        <w:spacing w:after="0" w:line="360" w:lineRule="auto"/>
        <w:ind w:firstLine="640" w:firstLineChars="200"/>
        <w:jc w:val="both"/>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rPr>
        <w:t>该系统包括但不限于以下功能：用</w:t>
      </w:r>
      <w:r>
        <w:rPr>
          <w:rFonts w:hint="eastAsia" w:ascii="仿宋_GB2312" w:hAnsi="仿宋_GB2312" w:eastAsia="仿宋_GB2312" w:cs="仿宋_GB2312"/>
          <w:color w:val="auto"/>
          <w:sz w:val="32"/>
          <w:szCs w:val="32"/>
          <w:lang w:val="zh-CN"/>
        </w:rPr>
        <w:t>户信息管理、高龄老年人信息、社区为老服务、服务监督管理等</w:t>
      </w: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lang w:eastAsia="zh-CN"/>
        </w:rPr>
        <w:t>主要实现社区层面养老服务功能，包括高龄津贴认证、服务预约选择等。</w:t>
      </w:r>
    </w:p>
    <w:p>
      <w:pPr>
        <w:keepNext w:val="0"/>
        <w:keepLines w:val="0"/>
        <w:pageBreakBefore w:val="0"/>
        <w:widowControl/>
        <w:kinsoku/>
        <w:wordWrap/>
        <w:overflowPunct/>
        <w:topLinePunct w:val="0"/>
        <w:autoSpaceDE/>
        <w:autoSpaceDN/>
        <w:bidi w:val="0"/>
        <w:adjustRightInd w:val="0"/>
        <w:snapToGrid w:val="0"/>
        <w:spacing w:after="0" w:line="360" w:lineRule="auto"/>
        <w:ind w:firstLine="640" w:firstLineChars="200"/>
        <w:jc w:val="both"/>
        <w:textAlignment w:val="auto"/>
        <w:rPr>
          <w:rFonts w:hint="eastAsia" w:ascii="楷体" w:hAnsi="楷体" w:eastAsia="楷体" w:cs="楷体"/>
          <w:color w:val="auto"/>
          <w:sz w:val="32"/>
          <w:szCs w:val="32"/>
          <w:lang w:val="zh-CN"/>
        </w:rPr>
      </w:pPr>
      <w:r>
        <w:rPr>
          <w:rFonts w:hint="eastAsia" w:ascii="楷体" w:hAnsi="楷体" w:eastAsia="楷体" w:cs="楷体"/>
          <w:color w:val="auto"/>
          <w:sz w:val="32"/>
          <w:szCs w:val="32"/>
          <w:lang w:eastAsia="zh-CN"/>
        </w:rPr>
        <w:t>（二）</w:t>
      </w:r>
      <w:r>
        <w:rPr>
          <w:rFonts w:hint="eastAsia" w:ascii="楷体" w:hAnsi="楷体" w:eastAsia="楷体" w:cs="楷体"/>
          <w:color w:val="auto"/>
          <w:sz w:val="32"/>
          <w:szCs w:val="32"/>
          <w:lang w:val="zh-CN"/>
        </w:rPr>
        <w:t>老年人</w:t>
      </w:r>
      <w:r>
        <w:rPr>
          <w:rFonts w:hint="eastAsia" w:ascii="楷体" w:hAnsi="楷体" w:eastAsia="楷体" w:cs="楷体"/>
          <w:color w:val="auto"/>
          <w:sz w:val="32"/>
          <w:szCs w:val="32"/>
        </w:rPr>
        <w:t>(</w:t>
      </w:r>
      <w:r>
        <w:rPr>
          <w:rFonts w:hint="eastAsia" w:ascii="楷体" w:hAnsi="楷体" w:eastAsia="楷体" w:cs="楷体"/>
          <w:color w:val="auto"/>
          <w:sz w:val="32"/>
          <w:szCs w:val="32"/>
          <w:lang w:val="zh-CN"/>
        </w:rPr>
        <w:t>监护人</w:t>
      </w:r>
      <w:r>
        <w:rPr>
          <w:rFonts w:hint="eastAsia" w:ascii="楷体" w:hAnsi="楷体" w:eastAsia="楷体" w:cs="楷体"/>
          <w:color w:val="auto"/>
          <w:sz w:val="32"/>
          <w:szCs w:val="32"/>
        </w:rPr>
        <w:t>)</w:t>
      </w:r>
      <w:r>
        <w:rPr>
          <w:rFonts w:hint="eastAsia" w:ascii="楷体" w:hAnsi="楷体" w:eastAsia="楷体" w:cs="楷体"/>
          <w:color w:val="auto"/>
          <w:sz w:val="32"/>
          <w:szCs w:val="32"/>
          <w:lang w:val="zh-CN"/>
        </w:rPr>
        <w:t>服务系统</w:t>
      </w:r>
    </w:p>
    <w:p>
      <w:pPr>
        <w:keepNext w:val="0"/>
        <w:keepLines w:val="0"/>
        <w:pageBreakBefore w:val="0"/>
        <w:widowControl/>
        <w:kinsoku/>
        <w:wordWrap/>
        <w:overflowPunct/>
        <w:topLinePunct w:val="0"/>
        <w:autoSpaceDE/>
        <w:autoSpaceDN/>
        <w:bidi w:val="0"/>
        <w:adjustRightInd w:val="0"/>
        <w:snapToGrid w:val="0"/>
        <w:spacing w:after="0" w:line="360" w:lineRule="auto"/>
        <w:ind w:firstLine="640" w:firstLineChars="200"/>
        <w:jc w:val="both"/>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rPr>
        <w:t>该系统包括但不限于以下功能：</w:t>
      </w:r>
      <w:r>
        <w:rPr>
          <w:rFonts w:hint="eastAsia" w:ascii="仿宋_GB2312" w:hAnsi="仿宋_GB2312" w:eastAsia="仿宋_GB2312" w:cs="仿宋_GB2312"/>
          <w:color w:val="auto"/>
          <w:sz w:val="32"/>
          <w:szCs w:val="32"/>
          <w:lang w:val="zh-CN"/>
        </w:rPr>
        <w:t>用户注册管理、申请补贴老年人按月认证（免费刷脸认证，不限次数）、服务查看、居家和社区养老服务选择等</w:t>
      </w: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lang w:eastAsia="zh-CN"/>
        </w:rPr>
        <w:t>主要服务老年人（监护人），包括可通过网络、手机</w:t>
      </w:r>
      <w:r>
        <w:rPr>
          <w:rFonts w:hint="eastAsia" w:ascii="仿宋_GB2312" w:hAnsi="仿宋_GB2312" w:eastAsia="仿宋_GB2312" w:cs="仿宋_GB2312"/>
          <w:color w:val="auto"/>
          <w:sz w:val="32"/>
          <w:szCs w:val="32"/>
          <w:lang w:val="en-US" w:eastAsia="zh-CN"/>
        </w:rPr>
        <w:t>APP等途径，</w:t>
      </w:r>
      <w:r>
        <w:rPr>
          <w:rFonts w:hint="eastAsia" w:ascii="仿宋_GB2312" w:hAnsi="仿宋_GB2312" w:eastAsia="仿宋_GB2312" w:cs="仿宋_GB2312"/>
          <w:color w:val="auto"/>
          <w:sz w:val="32"/>
          <w:szCs w:val="32"/>
          <w:lang w:eastAsia="zh-CN"/>
        </w:rPr>
        <w:t>选择养老护理、上门照护、助餐、助浴、助急、助行、助医等服务功能。</w:t>
      </w:r>
    </w:p>
    <w:p>
      <w:pPr>
        <w:keepNext w:val="0"/>
        <w:keepLines w:val="0"/>
        <w:pageBreakBefore w:val="0"/>
        <w:widowControl/>
        <w:kinsoku/>
        <w:wordWrap/>
        <w:overflowPunct/>
        <w:topLinePunct w:val="0"/>
        <w:autoSpaceDE/>
        <w:autoSpaceDN/>
        <w:bidi w:val="0"/>
        <w:adjustRightInd w:val="0"/>
        <w:snapToGrid w:val="0"/>
        <w:spacing w:after="0" w:line="360" w:lineRule="auto"/>
        <w:ind w:firstLine="640" w:firstLineChars="200"/>
        <w:jc w:val="both"/>
        <w:textAlignment w:val="auto"/>
        <w:rPr>
          <w:rFonts w:hint="eastAsia" w:ascii="楷体" w:hAnsi="楷体" w:eastAsia="楷体" w:cs="楷体"/>
          <w:color w:val="auto"/>
          <w:sz w:val="32"/>
          <w:szCs w:val="32"/>
        </w:rPr>
      </w:pPr>
      <w:r>
        <w:rPr>
          <w:rFonts w:hint="eastAsia" w:ascii="楷体" w:hAnsi="楷体" w:eastAsia="楷体" w:cs="楷体"/>
          <w:color w:val="auto"/>
          <w:sz w:val="32"/>
          <w:szCs w:val="32"/>
          <w:lang w:eastAsia="zh-CN"/>
        </w:rPr>
        <w:t>（三）</w:t>
      </w:r>
      <w:r>
        <w:rPr>
          <w:rFonts w:hint="eastAsia" w:ascii="楷体" w:hAnsi="楷体" w:eastAsia="楷体" w:cs="楷体"/>
          <w:color w:val="auto"/>
          <w:sz w:val="32"/>
          <w:szCs w:val="32"/>
          <w:lang w:val="zh-CN"/>
        </w:rPr>
        <w:t>商家</w:t>
      </w:r>
      <w:r>
        <w:rPr>
          <w:rFonts w:hint="eastAsia" w:ascii="楷体" w:hAnsi="楷体" w:eastAsia="楷体" w:cs="楷体"/>
          <w:color w:val="auto"/>
          <w:sz w:val="32"/>
          <w:szCs w:val="32"/>
        </w:rPr>
        <w:t>(</w:t>
      </w:r>
      <w:r>
        <w:rPr>
          <w:rFonts w:hint="eastAsia" w:ascii="楷体" w:hAnsi="楷体" w:eastAsia="楷体" w:cs="楷体"/>
          <w:color w:val="auto"/>
          <w:sz w:val="32"/>
          <w:szCs w:val="32"/>
          <w:lang w:val="zh-CN"/>
        </w:rPr>
        <w:t>社会助老站点</w:t>
      </w:r>
      <w:r>
        <w:rPr>
          <w:rFonts w:hint="eastAsia" w:ascii="楷体" w:hAnsi="楷体" w:eastAsia="楷体" w:cs="楷体"/>
          <w:color w:val="auto"/>
          <w:sz w:val="32"/>
          <w:szCs w:val="32"/>
        </w:rPr>
        <w:t>)、志愿者</w:t>
      </w:r>
      <w:r>
        <w:rPr>
          <w:rFonts w:hint="eastAsia" w:ascii="楷体" w:hAnsi="楷体" w:eastAsia="楷体" w:cs="楷体"/>
          <w:color w:val="auto"/>
          <w:sz w:val="32"/>
          <w:szCs w:val="32"/>
          <w:lang w:val="zh-CN"/>
        </w:rPr>
        <w:t>服务系统</w:t>
      </w:r>
    </w:p>
    <w:p>
      <w:pPr>
        <w:keepNext w:val="0"/>
        <w:keepLines w:val="0"/>
        <w:pageBreakBefore w:val="0"/>
        <w:widowControl/>
        <w:kinsoku/>
        <w:wordWrap/>
        <w:overflowPunct/>
        <w:topLinePunct w:val="0"/>
        <w:autoSpaceDE/>
        <w:autoSpaceDN/>
        <w:bidi w:val="0"/>
        <w:adjustRightInd w:val="0"/>
        <w:snapToGrid w:val="0"/>
        <w:spacing w:after="0" w:line="360" w:lineRule="auto"/>
        <w:ind w:firstLine="640" w:firstLineChars="200"/>
        <w:jc w:val="both"/>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该系统包括但不限于以下功能：</w:t>
      </w:r>
      <w:r>
        <w:rPr>
          <w:rFonts w:hint="eastAsia" w:ascii="仿宋_GB2312" w:hAnsi="仿宋_GB2312" w:eastAsia="仿宋_GB2312" w:cs="仿宋_GB2312"/>
          <w:color w:val="auto"/>
          <w:sz w:val="32"/>
          <w:szCs w:val="32"/>
          <w:lang w:val="zh-CN"/>
        </w:rPr>
        <w:t>用户注册管理、订单管理、退款退货、服务设置、数据统计、查看老年人需求、志愿者信息管理、志愿服务活动等。主要为居家老年人提供线上、线下相结合的养老服务，同时整合为老志愿服务资源，为有需求的老年人提供志愿服务。</w:t>
      </w:r>
    </w:p>
    <w:p>
      <w:pPr>
        <w:keepNext w:val="0"/>
        <w:keepLines w:val="0"/>
        <w:pageBreakBefore w:val="0"/>
        <w:widowControl/>
        <w:kinsoku/>
        <w:wordWrap/>
        <w:overflowPunct/>
        <w:topLinePunct w:val="0"/>
        <w:autoSpaceDE/>
        <w:autoSpaceDN/>
        <w:bidi w:val="0"/>
        <w:adjustRightInd w:val="0"/>
        <w:snapToGrid w:val="0"/>
        <w:spacing w:after="0" w:line="360" w:lineRule="auto"/>
        <w:ind w:firstLine="640" w:firstLineChars="200"/>
        <w:jc w:val="both"/>
        <w:textAlignment w:val="auto"/>
        <w:rPr>
          <w:rFonts w:hint="eastAsia" w:ascii="楷体" w:hAnsi="楷体" w:eastAsia="楷体" w:cs="楷体"/>
          <w:color w:val="auto"/>
          <w:sz w:val="32"/>
          <w:szCs w:val="32"/>
        </w:rPr>
      </w:pPr>
      <w:r>
        <w:rPr>
          <w:rFonts w:hint="eastAsia" w:ascii="楷体" w:hAnsi="楷体" w:eastAsia="楷体" w:cs="楷体"/>
          <w:color w:val="auto"/>
          <w:sz w:val="32"/>
          <w:szCs w:val="32"/>
          <w:lang w:eastAsia="zh-CN"/>
        </w:rPr>
        <w:t>（四）</w:t>
      </w:r>
      <w:r>
        <w:rPr>
          <w:rFonts w:hint="eastAsia" w:ascii="楷体" w:hAnsi="楷体" w:eastAsia="楷体" w:cs="楷体"/>
          <w:color w:val="auto"/>
          <w:sz w:val="32"/>
          <w:szCs w:val="32"/>
          <w:lang w:val="zh-CN"/>
        </w:rPr>
        <w:t>养老机构服务系统</w:t>
      </w:r>
    </w:p>
    <w:p>
      <w:pPr>
        <w:keepNext w:val="0"/>
        <w:keepLines w:val="0"/>
        <w:pageBreakBefore w:val="0"/>
        <w:widowControl/>
        <w:kinsoku/>
        <w:wordWrap/>
        <w:overflowPunct/>
        <w:topLinePunct w:val="0"/>
        <w:autoSpaceDE/>
        <w:autoSpaceDN/>
        <w:bidi w:val="0"/>
        <w:adjustRightInd w:val="0"/>
        <w:snapToGrid w:val="0"/>
        <w:spacing w:after="0" w:line="360" w:lineRule="auto"/>
        <w:ind w:firstLine="640" w:firstLineChars="200"/>
        <w:jc w:val="both"/>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rPr>
        <w:t>该系统包括但不限于以下功能：用</w:t>
      </w:r>
      <w:r>
        <w:rPr>
          <w:rFonts w:hint="eastAsia" w:ascii="仿宋_GB2312" w:hAnsi="仿宋_GB2312" w:eastAsia="仿宋_GB2312" w:cs="仿宋_GB2312"/>
          <w:color w:val="auto"/>
          <w:sz w:val="32"/>
          <w:szCs w:val="32"/>
          <w:lang w:val="zh-CN"/>
        </w:rPr>
        <w:t>户注册管理、老年人按月认证（免费刷脸认证，不限次数）、养老机构信息、养老机构服务情况发布等</w:t>
      </w: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lang w:eastAsia="zh-CN"/>
        </w:rPr>
        <w:t>主要对养老机构地理位置、院内硬件、软件条件、服务情况等进行展示，老年人或家属可线上选择、预约入住养老机构，并查看老年人在院生活状况等。</w:t>
      </w:r>
    </w:p>
    <w:p>
      <w:pPr>
        <w:keepNext w:val="0"/>
        <w:keepLines w:val="0"/>
        <w:pageBreakBefore w:val="0"/>
        <w:widowControl/>
        <w:kinsoku/>
        <w:wordWrap/>
        <w:overflowPunct/>
        <w:topLinePunct w:val="0"/>
        <w:autoSpaceDE/>
        <w:autoSpaceDN/>
        <w:bidi w:val="0"/>
        <w:adjustRightInd w:val="0"/>
        <w:snapToGrid w:val="0"/>
        <w:spacing w:after="0" w:line="360" w:lineRule="auto"/>
        <w:ind w:firstLine="640" w:firstLineChars="200"/>
        <w:jc w:val="both"/>
        <w:textAlignment w:val="auto"/>
        <w:rPr>
          <w:rFonts w:hint="eastAsia" w:ascii="楷体" w:hAnsi="楷体" w:eastAsia="楷体" w:cs="楷体"/>
          <w:color w:val="auto"/>
          <w:sz w:val="32"/>
          <w:szCs w:val="32"/>
        </w:rPr>
      </w:pPr>
      <w:r>
        <w:rPr>
          <w:rFonts w:hint="eastAsia" w:ascii="楷体" w:hAnsi="楷体" w:eastAsia="楷体" w:cs="楷体"/>
          <w:color w:val="auto"/>
          <w:sz w:val="32"/>
          <w:szCs w:val="32"/>
          <w:lang w:eastAsia="zh-CN"/>
        </w:rPr>
        <w:t>（五）</w:t>
      </w:r>
      <w:r>
        <w:rPr>
          <w:rFonts w:hint="eastAsia" w:ascii="楷体" w:hAnsi="楷体" w:eastAsia="楷体" w:cs="楷体"/>
          <w:color w:val="auto"/>
          <w:sz w:val="32"/>
          <w:szCs w:val="32"/>
        </w:rPr>
        <w:t>居家养老网站</w:t>
      </w:r>
    </w:p>
    <w:p>
      <w:pPr>
        <w:keepNext w:val="0"/>
        <w:keepLines w:val="0"/>
        <w:pageBreakBefore w:val="0"/>
        <w:widowControl/>
        <w:kinsoku/>
        <w:wordWrap/>
        <w:overflowPunct/>
        <w:topLinePunct w:val="0"/>
        <w:autoSpaceDE/>
        <w:autoSpaceDN/>
        <w:bidi w:val="0"/>
        <w:adjustRightInd w:val="0"/>
        <w:snapToGrid w:val="0"/>
        <w:spacing w:after="0" w:line="360" w:lineRule="auto"/>
        <w:ind w:firstLine="640" w:firstLineChars="200"/>
        <w:jc w:val="both"/>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该系统包括但不限于以下功能：</w:t>
      </w:r>
      <w:r>
        <w:rPr>
          <w:rFonts w:hint="eastAsia" w:ascii="仿宋_GB2312" w:hAnsi="仿宋_GB2312" w:eastAsia="仿宋_GB2312" w:cs="仿宋_GB2312"/>
          <w:color w:val="auto"/>
          <w:sz w:val="32"/>
          <w:szCs w:val="32"/>
          <w:lang w:val="zh-CN"/>
        </w:rPr>
        <w:t>新闻中心、养老政策、选择服务、个人中心、往事回忆、随身拍景、视频展播、文学创作、百科知识、用户中心等</w:t>
      </w:r>
      <w:r>
        <w:rPr>
          <w:rFonts w:hint="eastAsia" w:ascii="仿宋_GB2312" w:hAnsi="仿宋_GB2312" w:eastAsia="仿宋_GB2312" w:cs="仿宋_GB2312"/>
          <w:color w:val="auto"/>
          <w:sz w:val="32"/>
          <w:szCs w:val="32"/>
        </w:rPr>
        <w:t>。</w:t>
      </w:r>
    </w:p>
    <w:p>
      <w:pPr>
        <w:keepNext w:val="0"/>
        <w:keepLines w:val="0"/>
        <w:pageBreakBefore w:val="0"/>
        <w:widowControl/>
        <w:kinsoku/>
        <w:wordWrap/>
        <w:overflowPunct/>
        <w:topLinePunct w:val="0"/>
        <w:autoSpaceDE/>
        <w:autoSpaceDN/>
        <w:bidi w:val="0"/>
        <w:adjustRightInd w:val="0"/>
        <w:snapToGrid w:val="0"/>
        <w:spacing w:after="0" w:line="360" w:lineRule="auto"/>
        <w:ind w:firstLine="640" w:firstLineChars="200"/>
        <w:jc w:val="both"/>
        <w:textAlignment w:val="auto"/>
        <w:rPr>
          <w:rFonts w:hint="eastAsia" w:ascii="楷体" w:hAnsi="楷体" w:eastAsia="楷体" w:cs="楷体"/>
          <w:color w:val="auto"/>
          <w:sz w:val="32"/>
          <w:szCs w:val="32"/>
        </w:rPr>
      </w:pPr>
      <w:r>
        <w:rPr>
          <w:rFonts w:hint="eastAsia" w:ascii="楷体" w:hAnsi="楷体" w:eastAsia="楷体" w:cs="楷体"/>
          <w:color w:val="auto"/>
          <w:sz w:val="32"/>
          <w:szCs w:val="32"/>
          <w:lang w:val="zh-CN"/>
        </w:rPr>
        <w:t>（六）民政监管服务系统</w:t>
      </w:r>
    </w:p>
    <w:p>
      <w:pPr>
        <w:keepNext w:val="0"/>
        <w:keepLines w:val="0"/>
        <w:pageBreakBefore w:val="0"/>
        <w:widowControl/>
        <w:kinsoku/>
        <w:wordWrap/>
        <w:overflowPunct/>
        <w:topLinePunct w:val="0"/>
        <w:autoSpaceDE/>
        <w:autoSpaceDN/>
        <w:bidi w:val="0"/>
        <w:adjustRightInd w:val="0"/>
        <w:snapToGrid w:val="0"/>
        <w:spacing w:after="0" w:line="360" w:lineRule="auto"/>
        <w:ind w:firstLine="640" w:firstLineChars="200"/>
        <w:jc w:val="both"/>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该系统包括但不限于以下功能：用户注册管理、老年人按月认证、养老机构信息、养老</w:t>
      </w:r>
      <w:r>
        <w:rPr>
          <w:rFonts w:hint="eastAsia" w:ascii="仿宋_GB2312" w:hAnsi="仿宋_GB2312" w:eastAsia="仿宋_GB2312" w:cs="仿宋_GB2312"/>
          <w:color w:val="auto"/>
          <w:sz w:val="32"/>
          <w:szCs w:val="32"/>
          <w:lang w:eastAsia="zh-CN"/>
        </w:rPr>
        <w:t>机构</w:t>
      </w:r>
      <w:r>
        <w:rPr>
          <w:rFonts w:hint="eastAsia" w:ascii="仿宋_GB2312" w:hAnsi="仿宋_GB2312" w:eastAsia="仿宋_GB2312" w:cs="仿宋_GB2312"/>
          <w:color w:val="auto"/>
          <w:sz w:val="32"/>
          <w:szCs w:val="32"/>
        </w:rPr>
        <w:t>服务情况发布等。</w:t>
      </w:r>
    </w:p>
    <w:p>
      <w:pPr>
        <w:keepNext w:val="0"/>
        <w:keepLines w:val="0"/>
        <w:pageBreakBefore w:val="0"/>
        <w:widowControl/>
        <w:kinsoku/>
        <w:wordWrap/>
        <w:overflowPunct/>
        <w:topLinePunct w:val="0"/>
        <w:autoSpaceDE/>
        <w:autoSpaceDN/>
        <w:bidi w:val="0"/>
        <w:adjustRightInd w:val="0"/>
        <w:snapToGrid w:val="0"/>
        <w:spacing w:after="0" w:line="360" w:lineRule="auto"/>
        <w:ind w:firstLine="640" w:firstLineChars="200"/>
        <w:jc w:val="both"/>
        <w:textAlignment w:val="auto"/>
        <w:rPr>
          <w:rFonts w:hint="eastAsia" w:ascii="黑体" w:hAnsi="黑体" w:eastAsia="黑体" w:cs="黑体"/>
          <w:color w:val="auto"/>
          <w:sz w:val="32"/>
          <w:szCs w:val="32"/>
        </w:rPr>
      </w:pPr>
      <w:bookmarkStart w:id="0" w:name="_Toc14753"/>
      <w:bookmarkStart w:id="1" w:name="_Toc6764"/>
      <w:bookmarkStart w:id="2" w:name="_Toc75691262"/>
      <w:bookmarkStart w:id="3" w:name="_Toc25811"/>
      <w:bookmarkStart w:id="4" w:name="_Toc3959"/>
      <w:bookmarkStart w:id="5" w:name="_Toc15639"/>
      <w:bookmarkStart w:id="6" w:name="_Toc11356"/>
      <w:bookmarkStart w:id="7" w:name="_Toc29677"/>
      <w:bookmarkStart w:id="8" w:name="_Toc19261"/>
      <w:r>
        <w:rPr>
          <w:rFonts w:hint="eastAsia" w:ascii="黑体" w:hAnsi="黑体" w:eastAsia="黑体" w:cs="黑体"/>
          <w:color w:val="auto"/>
          <w:sz w:val="32"/>
          <w:szCs w:val="32"/>
          <w:lang w:eastAsia="zh-CN"/>
        </w:rPr>
        <w:t>四、</w:t>
      </w:r>
      <w:r>
        <w:rPr>
          <w:rFonts w:hint="eastAsia" w:ascii="黑体" w:hAnsi="黑体" w:eastAsia="黑体" w:cs="黑体"/>
          <w:color w:val="auto"/>
          <w:sz w:val="32"/>
          <w:szCs w:val="32"/>
        </w:rPr>
        <w:t>项目建设期</w:t>
      </w:r>
      <w:bookmarkEnd w:id="0"/>
      <w:bookmarkEnd w:id="1"/>
      <w:bookmarkEnd w:id="2"/>
      <w:bookmarkEnd w:id="3"/>
      <w:bookmarkEnd w:id="4"/>
      <w:bookmarkEnd w:id="5"/>
      <w:bookmarkEnd w:id="6"/>
      <w:bookmarkEnd w:id="7"/>
      <w:bookmarkEnd w:id="8"/>
    </w:p>
    <w:p>
      <w:pPr>
        <w:keepNext w:val="0"/>
        <w:keepLines w:val="0"/>
        <w:pageBreakBefore w:val="0"/>
        <w:widowControl/>
        <w:kinsoku/>
        <w:wordWrap/>
        <w:overflowPunct/>
        <w:topLinePunct w:val="0"/>
        <w:autoSpaceDE/>
        <w:autoSpaceDN/>
        <w:bidi w:val="0"/>
        <w:adjustRightInd w:val="0"/>
        <w:snapToGrid w:val="0"/>
        <w:spacing w:after="0" w:line="360" w:lineRule="auto"/>
        <w:ind w:firstLine="640" w:firstLineChars="200"/>
        <w:jc w:val="both"/>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信息平台建成并投入使用后，提供2年运维服务，具体建设时间安排如下：</w:t>
      </w:r>
    </w:p>
    <w:p>
      <w:pPr>
        <w:keepNext w:val="0"/>
        <w:keepLines w:val="0"/>
        <w:pageBreakBefore w:val="0"/>
        <w:widowControl/>
        <w:kinsoku/>
        <w:wordWrap/>
        <w:overflowPunct/>
        <w:topLinePunct w:val="0"/>
        <w:autoSpaceDE/>
        <w:autoSpaceDN/>
        <w:bidi w:val="0"/>
        <w:adjustRightInd w:val="0"/>
        <w:snapToGrid w:val="0"/>
        <w:spacing w:after="0" w:line="360" w:lineRule="auto"/>
        <w:ind w:firstLine="640" w:firstLineChars="200"/>
        <w:jc w:val="both"/>
        <w:textAlignment w:val="auto"/>
        <w:rPr>
          <w:rFonts w:hint="eastAsia" w:ascii="楷体" w:hAnsi="楷体" w:eastAsia="楷体" w:cs="楷体"/>
          <w:color w:val="auto"/>
          <w:sz w:val="32"/>
          <w:szCs w:val="32"/>
        </w:rPr>
      </w:pPr>
      <w:r>
        <w:rPr>
          <w:rFonts w:hint="eastAsia" w:ascii="楷体" w:hAnsi="楷体" w:eastAsia="楷体" w:cs="楷体"/>
          <w:color w:val="auto"/>
          <w:sz w:val="32"/>
          <w:szCs w:val="32"/>
          <w:lang w:eastAsia="zh-CN"/>
        </w:rPr>
        <w:t>（一）自合同签订后</w:t>
      </w:r>
      <w:r>
        <w:rPr>
          <w:rFonts w:hint="eastAsia" w:ascii="楷体" w:hAnsi="楷体" w:eastAsia="楷体" w:cs="楷体"/>
          <w:color w:val="auto"/>
          <w:sz w:val="32"/>
          <w:szCs w:val="32"/>
          <w:lang w:val="en-US" w:eastAsia="zh-CN"/>
        </w:rPr>
        <w:t>6个月内</w:t>
      </w:r>
      <w:r>
        <w:rPr>
          <w:rFonts w:hint="eastAsia" w:ascii="楷体" w:hAnsi="楷体" w:eastAsia="楷体" w:cs="楷体"/>
          <w:color w:val="auto"/>
          <w:sz w:val="32"/>
          <w:szCs w:val="32"/>
        </w:rPr>
        <w:t>，基本建成吉林市居家和社区养老服务信息平台</w:t>
      </w:r>
    </w:p>
    <w:p>
      <w:pPr>
        <w:keepNext w:val="0"/>
        <w:keepLines w:val="0"/>
        <w:pageBreakBefore w:val="0"/>
        <w:widowControl/>
        <w:kinsoku/>
        <w:wordWrap/>
        <w:overflowPunct/>
        <w:topLinePunct w:val="0"/>
        <w:autoSpaceDE/>
        <w:autoSpaceDN/>
        <w:bidi w:val="0"/>
        <w:adjustRightInd w:val="0"/>
        <w:snapToGrid w:val="0"/>
        <w:spacing w:after="0" w:line="360" w:lineRule="auto"/>
        <w:ind w:firstLine="640" w:firstLineChars="200"/>
        <w:jc w:val="both"/>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按照设计功能，完成平台测算、部署和运行。</w:t>
      </w:r>
    </w:p>
    <w:p>
      <w:pPr>
        <w:keepNext w:val="0"/>
        <w:keepLines w:val="0"/>
        <w:pageBreakBefore w:val="0"/>
        <w:widowControl/>
        <w:kinsoku/>
        <w:wordWrap/>
        <w:overflowPunct/>
        <w:topLinePunct w:val="0"/>
        <w:autoSpaceDE/>
        <w:autoSpaceDN/>
        <w:bidi w:val="0"/>
        <w:adjustRightInd w:val="0"/>
        <w:snapToGrid w:val="0"/>
        <w:spacing w:after="0" w:line="360" w:lineRule="auto"/>
        <w:ind w:firstLine="640" w:firstLineChars="200"/>
        <w:jc w:val="both"/>
        <w:textAlignment w:val="auto"/>
        <w:rPr>
          <w:rFonts w:hint="eastAsia" w:ascii="楷体" w:hAnsi="楷体" w:eastAsia="楷体" w:cs="楷体"/>
          <w:color w:val="auto"/>
          <w:sz w:val="32"/>
          <w:szCs w:val="32"/>
        </w:rPr>
      </w:pPr>
      <w:r>
        <w:rPr>
          <w:rFonts w:hint="eastAsia" w:ascii="楷体" w:hAnsi="楷体" w:eastAsia="楷体" w:cs="楷体"/>
          <w:color w:val="auto"/>
          <w:sz w:val="32"/>
          <w:szCs w:val="32"/>
          <w:lang w:eastAsia="zh-CN"/>
        </w:rPr>
        <w:t>（二）自合同签订后</w:t>
      </w:r>
      <w:r>
        <w:rPr>
          <w:rFonts w:hint="eastAsia" w:ascii="楷体" w:hAnsi="楷体" w:eastAsia="楷体" w:cs="楷体"/>
          <w:color w:val="auto"/>
          <w:sz w:val="32"/>
          <w:szCs w:val="32"/>
          <w:lang w:val="en-US" w:eastAsia="zh-CN"/>
        </w:rPr>
        <w:t>1年内</w:t>
      </w:r>
      <w:r>
        <w:rPr>
          <w:rFonts w:hint="eastAsia" w:ascii="楷体" w:hAnsi="楷体" w:eastAsia="楷体" w:cs="楷体"/>
          <w:color w:val="auto"/>
          <w:sz w:val="32"/>
          <w:szCs w:val="32"/>
        </w:rPr>
        <w:t>，基本建成居家养老大数据库</w:t>
      </w:r>
    </w:p>
    <w:p>
      <w:pPr>
        <w:keepNext w:val="0"/>
        <w:keepLines w:val="0"/>
        <w:pageBreakBefore w:val="0"/>
        <w:widowControl/>
        <w:kinsoku/>
        <w:wordWrap/>
        <w:overflowPunct/>
        <w:topLinePunct w:val="0"/>
        <w:autoSpaceDE/>
        <w:autoSpaceDN/>
        <w:bidi w:val="0"/>
        <w:adjustRightInd w:val="0"/>
        <w:snapToGrid w:val="0"/>
        <w:spacing w:after="0" w:line="360" w:lineRule="auto"/>
        <w:ind w:firstLine="640" w:firstLineChars="200"/>
        <w:jc w:val="both"/>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按照居家养老需求，对社区（村）和各级民政机关负责养老的工作人员数据、老年人数据、老年人需求数据、监护人数据、居家养老志愿者数据、养老机构数据、居家养老服务商数据等信息根据工作需要和服务对象等的意愿进行采集、分类，建立居家养老大数据库。</w:t>
      </w:r>
    </w:p>
    <w:p>
      <w:pPr>
        <w:keepNext w:val="0"/>
        <w:keepLines w:val="0"/>
        <w:pageBreakBefore w:val="0"/>
        <w:widowControl/>
        <w:kinsoku/>
        <w:wordWrap/>
        <w:overflowPunct/>
        <w:topLinePunct w:val="0"/>
        <w:autoSpaceDE/>
        <w:autoSpaceDN/>
        <w:bidi w:val="0"/>
        <w:adjustRightInd w:val="0"/>
        <w:snapToGrid w:val="0"/>
        <w:spacing w:after="0" w:line="360" w:lineRule="auto"/>
        <w:jc w:val="both"/>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val="en-US" w:eastAsia="zh-CN"/>
        </w:rPr>
        <w:t xml:space="preserve">   </w:t>
      </w:r>
      <w:r>
        <w:rPr>
          <w:rFonts w:hint="eastAsia" w:ascii="楷体" w:hAnsi="楷体" w:eastAsia="楷体" w:cs="楷体"/>
          <w:color w:val="auto"/>
          <w:sz w:val="32"/>
          <w:szCs w:val="32"/>
          <w:lang w:val="en-US" w:eastAsia="zh-CN"/>
        </w:rPr>
        <w:t>（三）</w:t>
      </w:r>
      <w:r>
        <w:rPr>
          <w:rFonts w:hint="eastAsia" w:ascii="楷体" w:hAnsi="楷体" w:eastAsia="楷体" w:cs="楷体"/>
          <w:color w:val="auto"/>
          <w:sz w:val="32"/>
          <w:szCs w:val="32"/>
          <w:lang w:eastAsia="zh-CN"/>
        </w:rPr>
        <w:t>自合同签订后</w:t>
      </w:r>
      <w:r>
        <w:rPr>
          <w:rFonts w:hint="eastAsia" w:ascii="楷体" w:hAnsi="楷体" w:eastAsia="楷体" w:cs="楷体"/>
          <w:color w:val="auto"/>
          <w:sz w:val="32"/>
          <w:szCs w:val="32"/>
          <w:lang w:val="en-US" w:eastAsia="zh-CN"/>
        </w:rPr>
        <w:t>1年6个月内</w:t>
      </w:r>
      <w:r>
        <w:rPr>
          <w:rFonts w:hint="eastAsia" w:ascii="楷体" w:hAnsi="楷体" w:eastAsia="楷体" w:cs="楷体"/>
          <w:color w:val="auto"/>
          <w:sz w:val="32"/>
          <w:szCs w:val="32"/>
        </w:rPr>
        <w:t>，基本完成居家养老服务数字化转型</w:t>
      </w:r>
    </w:p>
    <w:p>
      <w:pPr>
        <w:keepNext w:val="0"/>
        <w:keepLines w:val="0"/>
        <w:pageBreakBefore w:val="0"/>
        <w:widowControl/>
        <w:kinsoku/>
        <w:wordWrap/>
        <w:overflowPunct/>
        <w:topLinePunct w:val="0"/>
        <w:autoSpaceDE/>
        <w:autoSpaceDN/>
        <w:bidi w:val="0"/>
        <w:adjustRightInd w:val="0"/>
        <w:snapToGrid w:val="0"/>
        <w:spacing w:after="0" w:line="360" w:lineRule="auto"/>
        <w:ind w:firstLine="640" w:firstLineChars="200"/>
        <w:jc w:val="both"/>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rPr>
        <w:t>以居家养老大数据库为</w:t>
      </w:r>
      <w:r>
        <w:rPr>
          <w:rFonts w:hint="eastAsia" w:ascii="仿宋_GB2312" w:hAnsi="仿宋_GB2312" w:eastAsia="仿宋_GB2312" w:cs="仿宋_GB2312"/>
          <w:color w:val="auto"/>
          <w:sz w:val="32"/>
          <w:szCs w:val="32"/>
          <w:lang w:eastAsia="zh-CN"/>
        </w:rPr>
        <w:t>基础</w:t>
      </w: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lang w:eastAsia="zh-CN"/>
        </w:rPr>
        <w:t>基本</w:t>
      </w:r>
      <w:r>
        <w:rPr>
          <w:rFonts w:hint="eastAsia" w:ascii="仿宋_GB2312" w:hAnsi="仿宋_GB2312" w:eastAsia="仿宋_GB2312" w:cs="仿宋_GB2312"/>
          <w:color w:val="auto"/>
          <w:sz w:val="32"/>
          <w:szCs w:val="32"/>
        </w:rPr>
        <w:t>实现居家老年人和监护人与服务商的线上对接，居家养老从手工化转变为</w:t>
      </w:r>
      <w:r>
        <w:rPr>
          <w:rFonts w:hint="eastAsia" w:ascii="仿宋_GB2312" w:hAnsi="仿宋_GB2312" w:eastAsia="仿宋_GB2312" w:cs="仿宋_GB2312"/>
          <w:color w:val="auto"/>
          <w:sz w:val="32"/>
          <w:szCs w:val="32"/>
          <w:lang w:eastAsia="zh-CN"/>
        </w:rPr>
        <w:t>信息</w:t>
      </w:r>
      <w:r>
        <w:rPr>
          <w:rFonts w:hint="eastAsia" w:ascii="仿宋_GB2312" w:hAnsi="仿宋_GB2312" w:eastAsia="仿宋_GB2312" w:cs="仿宋_GB2312"/>
          <w:color w:val="auto"/>
          <w:sz w:val="32"/>
          <w:szCs w:val="32"/>
        </w:rPr>
        <w:t>化，推动“互联网+”居家养老服务深度融合、线上线下协同发展</w:t>
      </w:r>
      <w:r>
        <w:rPr>
          <w:rFonts w:hint="eastAsia" w:ascii="仿宋_GB2312" w:hAnsi="仿宋_GB2312" w:eastAsia="仿宋_GB2312" w:cs="仿宋_GB2312"/>
          <w:color w:val="auto"/>
          <w:sz w:val="32"/>
          <w:szCs w:val="32"/>
          <w:lang w:eastAsia="zh-CN"/>
        </w:rPr>
        <w:t>。</w:t>
      </w:r>
    </w:p>
    <w:p>
      <w:pPr>
        <w:keepNext w:val="0"/>
        <w:keepLines w:val="0"/>
        <w:pageBreakBefore w:val="0"/>
        <w:widowControl/>
        <w:kinsoku/>
        <w:wordWrap/>
        <w:overflowPunct/>
        <w:topLinePunct w:val="0"/>
        <w:autoSpaceDE/>
        <w:autoSpaceDN/>
        <w:bidi w:val="0"/>
        <w:adjustRightInd w:val="0"/>
        <w:snapToGrid w:val="0"/>
        <w:spacing w:after="0" w:line="360" w:lineRule="auto"/>
        <w:ind w:firstLine="640" w:firstLineChars="200"/>
        <w:jc w:val="both"/>
        <w:textAlignment w:val="auto"/>
        <w:rPr>
          <w:rFonts w:hint="eastAsia" w:ascii="楷体" w:hAnsi="楷体" w:eastAsia="楷体" w:cs="楷体"/>
          <w:color w:val="auto"/>
          <w:sz w:val="32"/>
          <w:szCs w:val="32"/>
        </w:rPr>
      </w:pPr>
      <w:r>
        <w:rPr>
          <w:rFonts w:hint="eastAsia" w:ascii="楷体" w:hAnsi="楷体" w:eastAsia="楷体" w:cs="楷体"/>
          <w:color w:val="auto"/>
          <w:sz w:val="32"/>
          <w:szCs w:val="32"/>
        </w:rPr>
        <w:t>（</w:t>
      </w:r>
      <w:r>
        <w:rPr>
          <w:rFonts w:hint="eastAsia" w:ascii="楷体" w:hAnsi="楷体" w:eastAsia="楷体" w:cs="楷体"/>
          <w:color w:val="auto"/>
          <w:sz w:val="32"/>
          <w:szCs w:val="32"/>
          <w:lang w:eastAsia="zh-CN"/>
        </w:rPr>
        <w:t>四</w:t>
      </w:r>
      <w:r>
        <w:rPr>
          <w:rFonts w:hint="eastAsia" w:ascii="楷体" w:hAnsi="楷体" w:eastAsia="楷体" w:cs="楷体"/>
          <w:color w:val="auto"/>
          <w:sz w:val="32"/>
          <w:szCs w:val="32"/>
        </w:rPr>
        <w:t>）</w:t>
      </w:r>
      <w:r>
        <w:rPr>
          <w:rFonts w:hint="eastAsia" w:ascii="楷体" w:hAnsi="楷体" w:eastAsia="楷体" w:cs="楷体"/>
          <w:color w:val="auto"/>
          <w:sz w:val="32"/>
          <w:szCs w:val="32"/>
          <w:lang w:eastAsia="zh-CN"/>
        </w:rPr>
        <w:t>自合同签订后</w:t>
      </w:r>
      <w:r>
        <w:rPr>
          <w:rFonts w:hint="eastAsia" w:ascii="楷体" w:hAnsi="楷体" w:eastAsia="楷体" w:cs="楷体"/>
          <w:color w:val="auto"/>
          <w:sz w:val="32"/>
          <w:szCs w:val="32"/>
          <w:lang w:val="en-US" w:eastAsia="zh-CN"/>
        </w:rPr>
        <w:t>1年9个月内</w:t>
      </w:r>
      <w:r>
        <w:rPr>
          <w:rFonts w:hint="eastAsia" w:ascii="楷体" w:hAnsi="楷体" w:eastAsia="楷体" w:cs="楷体"/>
          <w:color w:val="auto"/>
          <w:sz w:val="32"/>
          <w:szCs w:val="32"/>
        </w:rPr>
        <w:t>，基本完成居家养老监管数字化转型</w:t>
      </w:r>
    </w:p>
    <w:p>
      <w:pPr>
        <w:keepNext w:val="0"/>
        <w:keepLines w:val="0"/>
        <w:pageBreakBefore w:val="0"/>
        <w:widowControl/>
        <w:kinsoku/>
        <w:wordWrap/>
        <w:overflowPunct/>
        <w:topLinePunct w:val="0"/>
        <w:autoSpaceDE/>
        <w:autoSpaceDN/>
        <w:bidi w:val="0"/>
        <w:adjustRightInd w:val="0"/>
        <w:snapToGrid w:val="0"/>
        <w:spacing w:after="0" w:line="360" w:lineRule="auto"/>
        <w:ind w:firstLine="640" w:firstLineChars="200"/>
        <w:jc w:val="both"/>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以社区和各级民政机关为主体，以居家养老大数据库为</w:t>
      </w:r>
      <w:r>
        <w:rPr>
          <w:rFonts w:hint="eastAsia" w:ascii="仿宋_GB2312" w:hAnsi="仿宋_GB2312" w:eastAsia="仿宋_GB2312" w:cs="仿宋_GB2312"/>
          <w:color w:val="auto"/>
          <w:sz w:val="32"/>
          <w:szCs w:val="32"/>
          <w:lang w:eastAsia="zh-CN"/>
        </w:rPr>
        <w:t>基础</w:t>
      </w:r>
      <w:r>
        <w:rPr>
          <w:rFonts w:hint="eastAsia" w:ascii="仿宋_GB2312" w:hAnsi="仿宋_GB2312" w:eastAsia="仿宋_GB2312" w:cs="仿宋_GB2312"/>
          <w:color w:val="auto"/>
          <w:sz w:val="32"/>
          <w:szCs w:val="32"/>
        </w:rPr>
        <w:t>，对居家养老全场景、全流程进行监督、管理、服务。</w:t>
      </w:r>
    </w:p>
    <w:p>
      <w:pPr>
        <w:keepNext w:val="0"/>
        <w:keepLines w:val="0"/>
        <w:pageBreakBefore w:val="0"/>
        <w:widowControl/>
        <w:numPr>
          <w:ilvl w:val="0"/>
          <w:numId w:val="1"/>
        </w:numPr>
        <w:kinsoku/>
        <w:wordWrap/>
        <w:overflowPunct/>
        <w:topLinePunct w:val="0"/>
        <w:autoSpaceDE/>
        <w:autoSpaceDN/>
        <w:bidi w:val="0"/>
        <w:adjustRightInd w:val="0"/>
        <w:snapToGrid w:val="0"/>
        <w:spacing w:after="0" w:line="360" w:lineRule="auto"/>
        <w:ind w:firstLine="640" w:firstLineChars="200"/>
        <w:jc w:val="both"/>
        <w:textAlignment w:val="auto"/>
        <w:rPr>
          <w:rFonts w:hint="eastAsia" w:ascii="黑体" w:hAnsi="黑体" w:eastAsia="黑体" w:cs="黑体"/>
          <w:color w:val="auto"/>
          <w:sz w:val="32"/>
          <w:szCs w:val="32"/>
        </w:rPr>
      </w:pPr>
      <w:bookmarkStart w:id="9" w:name="_Toc10592"/>
      <w:bookmarkStart w:id="10" w:name="_Toc26224"/>
      <w:bookmarkStart w:id="11" w:name="_Toc1014"/>
      <w:bookmarkStart w:id="12" w:name="_Toc7273"/>
      <w:bookmarkStart w:id="13" w:name="_Toc20291"/>
      <w:bookmarkStart w:id="14" w:name="_Toc24677"/>
      <w:bookmarkStart w:id="15" w:name="_Toc30337"/>
      <w:bookmarkStart w:id="16" w:name="_Toc26860"/>
      <w:bookmarkStart w:id="17" w:name="_Toc75691307"/>
      <w:r>
        <w:rPr>
          <w:rFonts w:hint="eastAsia" w:ascii="黑体" w:hAnsi="黑体" w:eastAsia="黑体" w:cs="黑体"/>
          <w:color w:val="auto"/>
          <w:sz w:val="32"/>
          <w:szCs w:val="32"/>
        </w:rPr>
        <w:t>数据需求</w:t>
      </w:r>
      <w:bookmarkEnd w:id="9"/>
      <w:bookmarkEnd w:id="10"/>
      <w:bookmarkEnd w:id="11"/>
      <w:bookmarkEnd w:id="12"/>
      <w:bookmarkEnd w:id="13"/>
      <w:bookmarkEnd w:id="14"/>
      <w:bookmarkEnd w:id="15"/>
      <w:bookmarkEnd w:id="16"/>
      <w:bookmarkEnd w:id="17"/>
      <w:bookmarkStart w:id="18" w:name="_Toc18679"/>
      <w:bookmarkStart w:id="19" w:name="_Toc30858"/>
      <w:bookmarkStart w:id="20" w:name="_Toc21268"/>
      <w:bookmarkStart w:id="21" w:name="_Toc29579"/>
      <w:bookmarkStart w:id="22" w:name="_Toc2708"/>
      <w:bookmarkStart w:id="23" w:name="_Toc782"/>
      <w:bookmarkStart w:id="24" w:name="_Toc11807"/>
      <w:bookmarkStart w:id="25" w:name="_Toc6582"/>
      <w:bookmarkStart w:id="26" w:name="_Toc75691308"/>
    </w:p>
    <w:p>
      <w:pPr>
        <w:keepNext w:val="0"/>
        <w:keepLines w:val="0"/>
        <w:pageBreakBefore w:val="0"/>
        <w:widowControl/>
        <w:numPr>
          <w:numId w:val="0"/>
        </w:numPr>
        <w:kinsoku/>
        <w:wordWrap/>
        <w:overflowPunct/>
        <w:topLinePunct w:val="0"/>
        <w:autoSpaceDE/>
        <w:autoSpaceDN/>
        <w:bidi w:val="0"/>
        <w:adjustRightInd w:val="0"/>
        <w:snapToGrid w:val="0"/>
        <w:spacing w:after="0" w:line="360" w:lineRule="auto"/>
        <w:ind w:firstLine="640" w:firstLineChars="200"/>
        <w:jc w:val="both"/>
        <w:textAlignment w:val="auto"/>
        <w:rPr>
          <w:rFonts w:hint="eastAsia" w:ascii="仿宋_GB2312" w:hAnsi="仿宋_GB2312" w:eastAsia="仿宋_GB2312" w:cs="仿宋_GB2312"/>
          <w:color w:val="auto"/>
          <w:sz w:val="32"/>
          <w:szCs w:val="32"/>
        </w:rPr>
      </w:pPr>
      <w:r>
        <w:rPr>
          <w:rFonts w:hint="eastAsia" w:ascii="楷体" w:hAnsi="楷体" w:eastAsia="楷体" w:cs="楷体"/>
          <w:color w:val="auto"/>
          <w:sz w:val="32"/>
          <w:szCs w:val="32"/>
          <w:lang w:val="en-US" w:eastAsia="zh-CN"/>
        </w:rPr>
        <w:t>（一）</w:t>
      </w:r>
      <w:r>
        <w:rPr>
          <w:rFonts w:hint="eastAsia" w:ascii="楷体" w:hAnsi="楷体" w:eastAsia="楷体" w:cs="楷体"/>
          <w:color w:val="auto"/>
          <w:sz w:val="32"/>
          <w:szCs w:val="32"/>
        </w:rPr>
        <w:t>居家养老</w:t>
      </w:r>
      <w:r>
        <w:rPr>
          <w:rFonts w:hint="eastAsia" w:ascii="楷体" w:hAnsi="楷体" w:eastAsia="楷体" w:cs="楷体"/>
          <w:color w:val="auto"/>
          <w:sz w:val="32"/>
          <w:szCs w:val="32"/>
          <w:lang w:eastAsia="zh-CN"/>
        </w:rPr>
        <w:t>服务</w:t>
      </w:r>
      <w:r>
        <w:rPr>
          <w:rFonts w:hint="eastAsia" w:ascii="楷体" w:hAnsi="楷体" w:eastAsia="楷体" w:cs="楷体"/>
          <w:color w:val="auto"/>
          <w:sz w:val="32"/>
          <w:szCs w:val="32"/>
        </w:rPr>
        <w:t>机构和人员数据</w:t>
      </w:r>
      <w:bookmarkEnd w:id="18"/>
      <w:bookmarkEnd w:id="19"/>
      <w:bookmarkEnd w:id="20"/>
      <w:bookmarkEnd w:id="21"/>
      <w:bookmarkEnd w:id="22"/>
      <w:bookmarkEnd w:id="23"/>
      <w:bookmarkEnd w:id="24"/>
      <w:bookmarkEnd w:id="25"/>
      <w:bookmarkEnd w:id="26"/>
    </w:p>
    <w:p>
      <w:pPr>
        <w:keepNext w:val="0"/>
        <w:keepLines w:val="0"/>
        <w:pageBreakBefore w:val="0"/>
        <w:widowControl/>
        <w:kinsoku/>
        <w:wordWrap/>
        <w:overflowPunct/>
        <w:topLinePunct w:val="0"/>
        <w:autoSpaceDE/>
        <w:autoSpaceDN/>
        <w:bidi w:val="0"/>
        <w:adjustRightInd w:val="0"/>
        <w:snapToGrid w:val="0"/>
        <w:spacing w:after="0" w:line="360" w:lineRule="auto"/>
        <w:ind w:firstLine="640" w:firstLineChars="200"/>
        <w:jc w:val="both"/>
        <w:textAlignment w:val="auto"/>
        <w:rPr>
          <w:rFonts w:hint="eastAsia" w:ascii="仿宋_GB2312" w:hAnsi="仿宋_GB2312" w:eastAsia="仿宋_GB2312" w:cs="仿宋_GB2312"/>
          <w:color w:val="auto"/>
          <w:sz w:val="32"/>
          <w:szCs w:val="32"/>
        </w:rPr>
      </w:pPr>
      <w:bookmarkStart w:id="27" w:name="_Hlk75444902"/>
      <w:r>
        <w:rPr>
          <w:rFonts w:hint="eastAsia" w:ascii="仿宋_GB2312" w:hAnsi="仿宋_GB2312" w:eastAsia="仿宋_GB2312" w:cs="仿宋_GB2312"/>
          <w:color w:val="auto"/>
          <w:sz w:val="32"/>
          <w:szCs w:val="32"/>
        </w:rPr>
        <w:t>居家养老服务机构和人员数据</w:t>
      </w:r>
      <w:bookmarkEnd w:id="27"/>
      <w:r>
        <w:rPr>
          <w:rFonts w:hint="eastAsia" w:ascii="仿宋_GB2312" w:hAnsi="仿宋_GB2312" w:eastAsia="仿宋_GB2312" w:cs="仿宋_GB2312"/>
          <w:color w:val="auto"/>
          <w:sz w:val="32"/>
          <w:szCs w:val="32"/>
        </w:rPr>
        <w:t>、社区（村）自治组织数据、</w:t>
      </w:r>
      <w:r>
        <w:rPr>
          <w:rFonts w:hint="eastAsia" w:ascii="仿宋_GB2312" w:hAnsi="仿宋_GB2312" w:eastAsia="仿宋_GB2312" w:cs="仿宋_GB2312"/>
          <w:color w:val="auto"/>
          <w:sz w:val="32"/>
          <w:szCs w:val="32"/>
          <w:lang w:eastAsia="zh-CN"/>
        </w:rPr>
        <w:t>工作人员数据等。</w:t>
      </w:r>
    </w:p>
    <w:p>
      <w:pPr>
        <w:keepNext w:val="0"/>
        <w:keepLines w:val="0"/>
        <w:pageBreakBefore w:val="0"/>
        <w:widowControl/>
        <w:kinsoku/>
        <w:wordWrap/>
        <w:overflowPunct/>
        <w:topLinePunct w:val="0"/>
        <w:autoSpaceDE/>
        <w:autoSpaceDN/>
        <w:bidi w:val="0"/>
        <w:adjustRightInd w:val="0"/>
        <w:snapToGrid w:val="0"/>
        <w:spacing w:after="0" w:line="360" w:lineRule="auto"/>
        <w:ind w:firstLine="640" w:firstLineChars="200"/>
        <w:jc w:val="both"/>
        <w:textAlignment w:val="auto"/>
        <w:rPr>
          <w:rFonts w:hint="eastAsia" w:ascii="楷体" w:hAnsi="楷体" w:eastAsia="楷体" w:cs="楷体"/>
          <w:color w:val="auto"/>
          <w:sz w:val="32"/>
          <w:szCs w:val="32"/>
        </w:rPr>
      </w:pPr>
      <w:bookmarkStart w:id="28" w:name="_Toc32445"/>
      <w:bookmarkStart w:id="29" w:name="_Toc30986"/>
      <w:bookmarkStart w:id="30" w:name="_Toc75691309"/>
      <w:bookmarkStart w:id="31" w:name="_Toc5538"/>
      <w:bookmarkStart w:id="32" w:name="_Toc8410"/>
      <w:bookmarkStart w:id="33" w:name="_Toc29321"/>
      <w:bookmarkStart w:id="34" w:name="_Toc13112"/>
      <w:bookmarkStart w:id="35" w:name="_Toc28750"/>
      <w:bookmarkStart w:id="36" w:name="_Toc26086"/>
      <w:r>
        <w:rPr>
          <w:rFonts w:hint="eastAsia" w:ascii="楷体" w:hAnsi="楷体" w:eastAsia="楷体" w:cs="楷体"/>
          <w:color w:val="auto"/>
          <w:sz w:val="32"/>
          <w:szCs w:val="32"/>
          <w:lang w:eastAsia="zh-CN"/>
        </w:rPr>
        <w:t>（二）</w:t>
      </w:r>
      <w:r>
        <w:rPr>
          <w:rFonts w:hint="eastAsia" w:ascii="楷体" w:hAnsi="楷体" w:eastAsia="楷体" w:cs="楷体"/>
          <w:color w:val="auto"/>
          <w:sz w:val="32"/>
          <w:szCs w:val="32"/>
        </w:rPr>
        <w:t>老年人数据</w:t>
      </w:r>
      <w:bookmarkEnd w:id="28"/>
      <w:bookmarkEnd w:id="29"/>
      <w:bookmarkEnd w:id="30"/>
      <w:bookmarkEnd w:id="31"/>
      <w:bookmarkEnd w:id="32"/>
      <w:bookmarkEnd w:id="33"/>
      <w:bookmarkEnd w:id="34"/>
      <w:bookmarkEnd w:id="35"/>
      <w:bookmarkEnd w:id="36"/>
    </w:p>
    <w:p>
      <w:pPr>
        <w:keepNext w:val="0"/>
        <w:keepLines w:val="0"/>
        <w:pageBreakBefore w:val="0"/>
        <w:widowControl/>
        <w:kinsoku/>
        <w:wordWrap/>
        <w:overflowPunct/>
        <w:topLinePunct w:val="0"/>
        <w:autoSpaceDE/>
        <w:autoSpaceDN/>
        <w:bidi w:val="0"/>
        <w:adjustRightInd w:val="0"/>
        <w:snapToGrid w:val="0"/>
        <w:spacing w:after="0" w:line="360" w:lineRule="auto"/>
        <w:ind w:firstLine="640" w:firstLineChars="200"/>
        <w:jc w:val="both"/>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老年人基本信息数据、监护人基本信息数据等。</w:t>
      </w:r>
    </w:p>
    <w:p>
      <w:pPr>
        <w:keepNext w:val="0"/>
        <w:keepLines w:val="0"/>
        <w:pageBreakBefore w:val="0"/>
        <w:widowControl/>
        <w:kinsoku/>
        <w:wordWrap/>
        <w:overflowPunct/>
        <w:topLinePunct w:val="0"/>
        <w:autoSpaceDE/>
        <w:autoSpaceDN/>
        <w:bidi w:val="0"/>
        <w:adjustRightInd w:val="0"/>
        <w:snapToGrid w:val="0"/>
        <w:spacing w:after="0" w:line="360" w:lineRule="auto"/>
        <w:ind w:firstLine="640" w:firstLineChars="200"/>
        <w:jc w:val="both"/>
        <w:textAlignment w:val="auto"/>
        <w:rPr>
          <w:rFonts w:hint="eastAsia" w:ascii="楷体" w:hAnsi="楷体" w:eastAsia="楷体" w:cs="楷体"/>
          <w:color w:val="auto"/>
          <w:sz w:val="32"/>
          <w:szCs w:val="32"/>
        </w:rPr>
      </w:pPr>
      <w:bookmarkStart w:id="37" w:name="_Toc14048"/>
      <w:bookmarkStart w:id="38" w:name="_Toc14887"/>
      <w:bookmarkStart w:id="39" w:name="_Toc23905"/>
      <w:bookmarkStart w:id="40" w:name="_Toc18972"/>
      <w:bookmarkStart w:id="41" w:name="_Toc11857"/>
      <w:bookmarkStart w:id="42" w:name="_Toc26132"/>
      <w:bookmarkStart w:id="43" w:name="_Toc7127"/>
      <w:bookmarkStart w:id="44" w:name="_Toc75691310"/>
      <w:bookmarkStart w:id="45" w:name="_Toc25166"/>
      <w:r>
        <w:rPr>
          <w:rFonts w:hint="eastAsia" w:ascii="楷体" w:hAnsi="楷体" w:eastAsia="楷体" w:cs="楷体"/>
          <w:color w:val="auto"/>
          <w:sz w:val="32"/>
          <w:szCs w:val="32"/>
          <w:lang w:eastAsia="zh-CN"/>
        </w:rPr>
        <w:t>（三）</w:t>
      </w:r>
      <w:r>
        <w:rPr>
          <w:rFonts w:hint="eastAsia" w:ascii="楷体" w:hAnsi="楷体" w:eastAsia="楷体" w:cs="楷体"/>
          <w:color w:val="auto"/>
          <w:sz w:val="32"/>
          <w:szCs w:val="32"/>
        </w:rPr>
        <w:t>老年人需求数据</w:t>
      </w:r>
      <w:bookmarkEnd w:id="37"/>
      <w:bookmarkEnd w:id="38"/>
      <w:bookmarkEnd w:id="39"/>
      <w:bookmarkEnd w:id="40"/>
      <w:bookmarkEnd w:id="41"/>
      <w:bookmarkEnd w:id="42"/>
      <w:bookmarkEnd w:id="43"/>
      <w:bookmarkEnd w:id="44"/>
      <w:bookmarkEnd w:id="45"/>
    </w:p>
    <w:p>
      <w:pPr>
        <w:keepNext w:val="0"/>
        <w:keepLines w:val="0"/>
        <w:pageBreakBefore w:val="0"/>
        <w:widowControl/>
        <w:kinsoku/>
        <w:wordWrap/>
        <w:overflowPunct/>
        <w:topLinePunct w:val="0"/>
        <w:autoSpaceDE/>
        <w:autoSpaceDN/>
        <w:bidi w:val="0"/>
        <w:adjustRightInd w:val="0"/>
        <w:snapToGrid w:val="0"/>
        <w:spacing w:after="0" w:line="360" w:lineRule="auto"/>
        <w:ind w:firstLine="640" w:firstLineChars="200"/>
        <w:jc w:val="both"/>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老年人</w:t>
      </w:r>
      <w:r>
        <w:rPr>
          <w:rFonts w:hint="eastAsia" w:ascii="仿宋_GB2312" w:hAnsi="仿宋_GB2312" w:eastAsia="仿宋_GB2312" w:cs="仿宋_GB2312"/>
          <w:color w:val="auto"/>
          <w:sz w:val="32"/>
          <w:szCs w:val="32"/>
          <w:lang w:eastAsia="zh-CN"/>
        </w:rPr>
        <w:t>养老服务</w:t>
      </w:r>
      <w:r>
        <w:rPr>
          <w:rFonts w:hint="eastAsia" w:ascii="仿宋_GB2312" w:hAnsi="仿宋_GB2312" w:eastAsia="仿宋_GB2312" w:cs="仿宋_GB2312"/>
          <w:color w:val="auto"/>
          <w:sz w:val="32"/>
          <w:szCs w:val="32"/>
        </w:rPr>
        <w:t>需求数据等。</w:t>
      </w:r>
      <w:bookmarkStart w:id="46" w:name="_Toc10877"/>
      <w:bookmarkStart w:id="47" w:name="_Toc12380"/>
      <w:bookmarkStart w:id="48" w:name="_Toc25948"/>
      <w:bookmarkStart w:id="49" w:name="_Toc16114"/>
      <w:bookmarkStart w:id="50" w:name="_Toc21980"/>
      <w:bookmarkStart w:id="51" w:name="_Toc22470"/>
      <w:bookmarkStart w:id="52" w:name="_Toc31953"/>
      <w:bookmarkStart w:id="53" w:name="_Toc12888"/>
    </w:p>
    <w:p>
      <w:pPr>
        <w:keepNext w:val="0"/>
        <w:keepLines w:val="0"/>
        <w:pageBreakBefore w:val="0"/>
        <w:widowControl/>
        <w:kinsoku/>
        <w:wordWrap/>
        <w:overflowPunct/>
        <w:topLinePunct w:val="0"/>
        <w:autoSpaceDE/>
        <w:autoSpaceDN/>
        <w:bidi w:val="0"/>
        <w:adjustRightInd w:val="0"/>
        <w:snapToGrid w:val="0"/>
        <w:spacing w:after="0" w:line="360" w:lineRule="auto"/>
        <w:ind w:firstLine="640" w:firstLineChars="200"/>
        <w:jc w:val="both"/>
        <w:textAlignment w:val="auto"/>
        <w:rPr>
          <w:rFonts w:hint="eastAsia" w:ascii="楷体" w:hAnsi="楷体" w:eastAsia="楷体" w:cs="楷体"/>
          <w:color w:val="auto"/>
          <w:sz w:val="32"/>
          <w:szCs w:val="32"/>
        </w:rPr>
      </w:pPr>
      <w:r>
        <w:rPr>
          <w:rFonts w:hint="eastAsia" w:ascii="楷体" w:hAnsi="楷体" w:eastAsia="楷体" w:cs="楷体"/>
          <w:color w:val="auto"/>
          <w:sz w:val="32"/>
          <w:szCs w:val="32"/>
          <w:lang w:eastAsia="zh-CN"/>
        </w:rPr>
        <w:t>（四）</w:t>
      </w:r>
      <w:r>
        <w:rPr>
          <w:rFonts w:hint="eastAsia" w:ascii="楷体" w:hAnsi="楷体" w:eastAsia="楷体" w:cs="楷体"/>
          <w:color w:val="auto"/>
          <w:sz w:val="32"/>
          <w:szCs w:val="32"/>
        </w:rPr>
        <w:t>居家养老服务商家（社会助老点）、志愿者数据</w:t>
      </w:r>
      <w:bookmarkEnd w:id="46"/>
      <w:bookmarkEnd w:id="47"/>
      <w:bookmarkEnd w:id="48"/>
      <w:bookmarkEnd w:id="49"/>
      <w:bookmarkEnd w:id="50"/>
      <w:bookmarkEnd w:id="51"/>
      <w:bookmarkEnd w:id="52"/>
      <w:bookmarkEnd w:id="53"/>
      <w:bookmarkStart w:id="54" w:name="_Hlk75451549"/>
      <w:bookmarkStart w:id="55" w:name="_Hlk75451605"/>
      <w:r>
        <w:rPr>
          <w:rFonts w:hint="eastAsia" w:ascii="楷体" w:hAnsi="楷体" w:eastAsia="楷体" w:cs="楷体"/>
          <w:color w:val="auto"/>
          <w:sz w:val="32"/>
          <w:szCs w:val="32"/>
          <w:lang w:val="en-US" w:eastAsia="zh-CN"/>
        </w:rPr>
        <w:t xml:space="preserve">   </w:t>
      </w:r>
    </w:p>
    <w:p>
      <w:pPr>
        <w:keepNext w:val="0"/>
        <w:keepLines w:val="0"/>
        <w:pageBreakBefore w:val="0"/>
        <w:widowControl/>
        <w:numPr>
          <w:ilvl w:val="0"/>
          <w:numId w:val="0"/>
        </w:numPr>
        <w:kinsoku/>
        <w:wordWrap/>
        <w:overflowPunct/>
        <w:topLinePunct w:val="0"/>
        <w:autoSpaceDE/>
        <w:autoSpaceDN/>
        <w:bidi w:val="0"/>
        <w:adjustRightInd w:val="0"/>
        <w:snapToGrid w:val="0"/>
        <w:spacing w:after="0" w:line="360" w:lineRule="auto"/>
        <w:ind w:firstLine="640" w:firstLineChars="200"/>
        <w:jc w:val="both"/>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居家养老商家（社会助老点）基本信息数据、居家养老商家（社会助老点）商品或服务项目数据、居家养老志愿者</w:t>
      </w:r>
      <w:bookmarkEnd w:id="54"/>
      <w:r>
        <w:rPr>
          <w:rFonts w:hint="eastAsia" w:ascii="仿宋_GB2312" w:hAnsi="仿宋_GB2312" w:eastAsia="仿宋_GB2312" w:cs="仿宋_GB2312"/>
          <w:color w:val="auto"/>
          <w:sz w:val="32"/>
          <w:szCs w:val="32"/>
        </w:rPr>
        <w:t>基本信息数据等。</w:t>
      </w:r>
    </w:p>
    <w:bookmarkEnd w:id="55"/>
    <w:p>
      <w:pPr>
        <w:keepNext w:val="0"/>
        <w:keepLines w:val="0"/>
        <w:pageBreakBefore w:val="0"/>
        <w:widowControl/>
        <w:kinsoku/>
        <w:wordWrap/>
        <w:overflowPunct/>
        <w:topLinePunct w:val="0"/>
        <w:autoSpaceDE/>
        <w:autoSpaceDN/>
        <w:bidi w:val="0"/>
        <w:adjustRightInd w:val="0"/>
        <w:snapToGrid w:val="0"/>
        <w:spacing w:after="0" w:line="360" w:lineRule="auto"/>
        <w:ind w:firstLine="640" w:firstLineChars="200"/>
        <w:jc w:val="both"/>
        <w:textAlignment w:val="auto"/>
        <w:rPr>
          <w:rFonts w:hint="eastAsia" w:ascii="楷体" w:hAnsi="楷体" w:eastAsia="楷体" w:cs="楷体"/>
          <w:color w:val="auto"/>
          <w:sz w:val="32"/>
          <w:szCs w:val="32"/>
        </w:rPr>
      </w:pPr>
      <w:bookmarkStart w:id="56" w:name="_Toc2730"/>
      <w:bookmarkStart w:id="57" w:name="_Toc23473"/>
      <w:bookmarkStart w:id="58" w:name="_Toc7012"/>
      <w:bookmarkStart w:id="59" w:name="_Toc25324"/>
      <w:bookmarkStart w:id="60" w:name="_Toc1033"/>
      <w:bookmarkStart w:id="61" w:name="_Toc4456"/>
      <w:bookmarkStart w:id="62" w:name="_Toc17837"/>
      <w:bookmarkStart w:id="63" w:name="_Toc14545"/>
      <w:r>
        <w:rPr>
          <w:rFonts w:hint="eastAsia" w:ascii="楷体" w:hAnsi="楷体" w:eastAsia="楷体" w:cs="楷体"/>
          <w:color w:val="auto"/>
          <w:sz w:val="32"/>
          <w:szCs w:val="32"/>
          <w:lang w:eastAsia="zh-CN"/>
        </w:rPr>
        <w:t>（五）</w:t>
      </w:r>
      <w:r>
        <w:rPr>
          <w:rFonts w:hint="eastAsia" w:ascii="楷体" w:hAnsi="楷体" w:eastAsia="楷体" w:cs="楷体"/>
          <w:color w:val="auto"/>
          <w:sz w:val="32"/>
          <w:szCs w:val="32"/>
        </w:rPr>
        <w:t>养老机构数据</w:t>
      </w:r>
      <w:bookmarkEnd w:id="56"/>
      <w:bookmarkEnd w:id="57"/>
      <w:bookmarkEnd w:id="58"/>
      <w:bookmarkEnd w:id="59"/>
      <w:bookmarkEnd w:id="60"/>
      <w:bookmarkEnd w:id="61"/>
      <w:bookmarkEnd w:id="62"/>
      <w:bookmarkEnd w:id="63"/>
    </w:p>
    <w:p>
      <w:pPr>
        <w:keepNext w:val="0"/>
        <w:keepLines w:val="0"/>
        <w:pageBreakBefore w:val="0"/>
        <w:widowControl/>
        <w:kinsoku/>
        <w:wordWrap/>
        <w:overflowPunct/>
        <w:topLinePunct w:val="0"/>
        <w:autoSpaceDE/>
        <w:autoSpaceDN/>
        <w:bidi w:val="0"/>
        <w:adjustRightInd w:val="0"/>
        <w:snapToGrid w:val="0"/>
        <w:spacing w:after="0" w:line="360" w:lineRule="auto"/>
        <w:ind w:firstLine="640" w:firstLineChars="200"/>
        <w:jc w:val="both"/>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养老机构基本信息数据等。</w:t>
      </w:r>
    </w:p>
    <w:p>
      <w:pPr>
        <w:keepNext w:val="0"/>
        <w:keepLines w:val="0"/>
        <w:pageBreakBefore w:val="0"/>
        <w:widowControl/>
        <w:numPr>
          <w:ilvl w:val="0"/>
          <w:numId w:val="2"/>
        </w:numPr>
        <w:kinsoku/>
        <w:wordWrap/>
        <w:overflowPunct/>
        <w:topLinePunct w:val="0"/>
        <w:autoSpaceDE/>
        <w:autoSpaceDN/>
        <w:bidi w:val="0"/>
        <w:adjustRightInd w:val="0"/>
        <w:snapToGrid w:val="0"/>
        <w:spacing w:after="0" w:line="360" w:lineRule="auto"/>
        <w:ind w:left="640" w:leftChars="0" w:firstLine="0" w:firstLineChars="0"/>
        <w:jc w:val="both"/>
        <w:textAlignment w:val="auto"/>
        <w:rPr>
          <w:rFonts w:hint="eastAsia" w:ascii="黑体" w:hAnsi="黑体" w:eastAsia="黑体" w:cs="黑体"/>
          <w:color w:val="auto"/>
          <w:sz w:val="32"/>
          <w:szCs w:val="32"/>
        </w:rPr>
      </w:pPr>
      <w:bookmarkStart w:id="64" w:name="_Toc6130"/>
      <w:bookmarkStart w:id="65" w:name="_Toc75691323"/>
      <w:bookmarkStart w:id="66" w:name="_Toc3176"/>
      <w:bookmarkStart w:id="67" w:name="_Toc24079"/>
      <w:bookmarkStart w:id="68" w:name="_Toc6139"/>
      <w:bookmarkStart w:id="69" w:name="_Toc12712"/>
      <w:bookmarkStart w:id="70" w:name="_Toc18813"/>
      <w:bookmarkStart w:id="71" w:name="_Toc437415452"/>
      <w:bookmarkStart w:id="72" w:name="_Toc14303"/>
      <w:bookmarkStart w:id="73" w:name="_Toc60919671"/>
      <w:bookmarkStart w:id="74" w:name="_Toc19417"/>
      <w:bookmarkStart w:id="75" w:name="_Toc32194"/>
      <w:r>
        <w:rPr>
          <w:rFonts w:hint="eastAsia" w:ascii="黑体" w:hAnsi="黑体" w:eastAsia="黑体" w:cs="黑体"/>
          <w:color w:val="auto"/>
          <w:sz w:val="32"/>
          <w:szCs w:val="32"/>
        </w:rPr>
        <w:t>交易响应时间</w:t>
      </w:r>
      <w:bookmarkEnd w:id="64"/>
      <w:bookmarkEnd w:id="65"/>
      <w:bookmarkEnd w:id="66"/>
      <w:bookmarkEnd w:id="67"/>
      <w:bookmarkEnd w:id="68"/>
      <w:bookmarkEnd w:id="69"/>
      <w:bookmarkEnd w:id="70"/>
      <w:bookmarkEnd w:id="71"/>
      <w:bookmarkEnd w:id="72"/>
      <w:bookmarkEnd w:id="73"/>
      <w:bookmarkEnd w:id="74"/>
      <w:bookmarkEnd w:id="75"/>
    </w:p>
    <w:p>
      <w:pPr>
        <w:keepNext w:val="0"/>
        <w:keepLines w:val="0"/>
        <w:pageBreakBefore w:val="0"/>
        <w:widowControl/>
        <w:numPr>
          <w:ilvl w:val="0"/>
          <w:numId w:val="0"/>
        </w:numPr>
        <w:kinsoku/>
        <w:wordWrap/>
        <w:overflowPunct/>
        <w:topLinePunct w:val="0"/>
        <w:autoSpaceDE/>
        <w:autoSpaceDN/>
        <w:bidi w:val="0"/>
        <w:adjustRightInd w:val="0"/>
        <w:snapToGrid w:val="0"/>
        <w:spacing w:after="0" w:line="360" w:lineRule="auto"/>
        <w:jc w:val="both"/>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val="en-US" w:eastAsia="zh-CN"/>
        </w:rPr>
        <w:t xml:space="preserve">    （一）</w:t>
      </w:r>
      <w:r>
        <w:rPr>
          <w:rFonts w:hint="eastAsia" w:ascii="仿宋_GB2312" w:hAnsi="仿宋_GB2312" w:eastAsia="仿宋_GB2312" w:cs="仿宋_GB2312"/>
          <w:color w:val="auto"/>
          <w:sz w:val="32"/>
          <w:szCs w:val="32"/>
        </w:rPr>
        <w:t>交互类业务响应时间,包括单笔业务处理和批量交易业务处理响应时间，详见下表：</w:t>
      </w:r>
    </w:p>
    <w:tbl>
      <w:tblPr>
        <w:tblStyle w:val="27"/>
        <w:tblW w:w="85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84"/>
        <w:gridCol w:w="2387"/>
        <w:gridCol w:w="2442"/>
        <w:gridCol w:w="19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jc w:val="center"/>
        </w:trPr>
        <w:tc>
          <w:tcPr>
            <w:tcW w:w="8522" w:type="dxa"/>
            <w:gridSpan w:val="4"/>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交易类业务复杂性与响应时间关系表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5" w:hRule="atLeast"/>
          <w:jc w:val="center"/>
        </w:trPr>
        <w:tc>
          <w:tcPr>
            <w:tcW w:w="1784" w:type="dxa"/>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业务复杂性</w:t>
            </w:r>
          </w:p>
        </w:tc>
        <w:tc>
          <w:tcPr>
            <w:tcW w:w="2387" w:type="dxa"/>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平均响应时间</w:t>
            </w:r>
          </w:p>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提交过程参考值(秒)</w:t>
            </w:r>
          </w:p>
        </w:tc>
        <w:tc>
          <w:tcPr>
            <w:tcW w:w="2442" w:type="dxa"/>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平均响应时间</w:t>
            </w:r>
          </w:p>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交互过程参考值(秒)</w:t>
            </w:r>
          </w:p>
        </w:tc>
        <w:tc>
          <w:tcPr>
            <w:tcW w:w="1909" w:type="dxa"/>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峰值响应时间</w:t>
            </w:r>
          </w:p>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参考值(秒)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jc w:val="center"/>
        </w:trPr>
        <w:tc>
          <w:tcPr>
            <w:tcW w:w="1784" w:type="dxa"/>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日常交易</w:t>
            </w:r>
          </w:p>
        </w:tc>
        <w:tc>
          <w:tcPr>
            <w:tcW w:w="2387" w:type="dxa"/>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0.5-3</w:t>
            </w:r>
          </w:p>
        </w:tc>
        <w:tc>
          <w:tcPr>
            <w:tcW w:w="2442" w:type="dxa"/>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0.5-3</w:t>
            </w:r>
          </w:p>
        </w:tc>
        <w:tc>
          <w:tcPr>
            <w:tcW w:w="1909" w:type="dxa"/>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4-10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0" w:hRule="atLeast"/>
          <w:jc w:val="center"/>
        </w:trPr>
        <w:tc>
          <w:tcPr>
            <w:tcW w:w="1784" w:type="dxa"/>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批量交易</w:t>
            </w:r>
          </w:p>
        </w:tc>
        <w:tc>
          <w:tcPr>
            <w:tcW w:w="2387" w:type="dxa"/>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视提交数据量、业务处理量而定</w:t>
            </w:r>
          </w:p>
        </w:tc>
        <w:tc>
          <w:tcPr>
            <w:tcW w:w="2442" w:type="dxa"/>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eastAsia" w:ascii="仿宋_GB2312" w:hAnsi="仿宋_GB2312" w:eastAsia="仿宋_GB2312" w:cs="仿宋_GB2312"/>
                <w:color w:val="auto"/>
                <w:sz w:val="24"/>
                <w:szCs w:val="24"/>
              </w:rPr>
            </w:pPr>
          </w:p>
        </w:tc>
        <w:tc>
          <w:tcPr>
            <w:tcW w:w="1909" w:type="dxa"/>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eastAsia" w:ascii="仿宋_GB2312" w:hAnsi="仿宋_GB2312" w:eastAsia="仿宋_GB2312" w:cs="仿宋_GB2312"/>
                <w:color w:val="auto"/>
                <w:sz w:val="24"/>
                <w:szCs w:val="24"/>
              </w:rPr>
            </w:pPr>
          </w:p>
        </w:tc>
      </w:tr>
    </w:tbl>
    <w:p>
      <w:pPr>
        <w:keepNext w:val="0"/>
        <w:keepLines w:val="0"/>
        <w:pageBreakBefore w:val="0"/>
        <w:kinsoku/>
        <w:wordWrap/>
        <w:overflowPunct/>
        <w:topLinePunct w:val="0"/>
        <w:autoSpaceDE/>
        <w:autoSpaceDN/>
        <w:bidi w:val="0"/>
        <w:adjustRightInd w:val="0"/>
        <w:snapToGrid w:val="0"/>
        <w:spacing w:line="360" w:lineRule="auto"/>
        <w:ind w:firstLine="640" w:firstLineChars="200"/>
        <w:jc w:val="both"/>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lang w:eastAsia="zh-CN"/>
        </w:rPr>
        <w:t>二</w:t>
      </w:r>
      <w:r>
        <w:rPr>
          <w:rFonts w:hint="eastAsia" w:ascii="仿宋_GB2312" w:hAnsi="仿宋_GB2312" w:eastAsia="仿宋_GB2312" w:cs="仿宋_GB2312"/>
          <w:color w:val="auto"/>
          <w:sz w:val="32"/>
          <w:szCs w:val="32"/>
        </w:rPr>
        <w:t>）查询类业务响应时间,包括简单查询和复杂查询响应时间，详见下表：</w:t>
      </w:r>
    </w:p>
    <w:tbl>
      <w:tblPr>
        <w:tblStyle w:val="27"/>
        <w:tblW w:w="85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80"/>
        <w:gridCol w:w="52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 w:hRule="atLeast"/>
          <w:jc w:val="center"/>
        </w:trPr>
        <w:tc>
          <w:tcPr>
            <w:tcW w:w="8522" w:type="dxa"/>
            <w:gridSpan w:val="2"/>
            <w:shd w:val="clear" w:color="auto" w:fill="auto"/>
            <w:vAlign w:val="bottom"/>
          </w:tcPr>
          <w:p>
            <w:pPr>
              <w:keepNext w:val="0"/>
              <w:keepLines w:val="0"/>
              <w:pageBreakBefore w:val="0"/>
              <w:kinsoku/>
              <w:wordWrap/>
              <w:overflowPunct/>
              <w:topLinePunct w:val="0"/>
              <w:autoSpaceDE/>
              <w:autoSpaceDN/>
              <w:bidi w:val="0"/>
              <w:adjustRightInd w:val="0"/>
              <w:snapToGrid w:val="0"/>
              <w:spacing w:line="360" w:lineRule="auto"/>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查询类业务复杂性与响应时间关系表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 w:hRule="atLeast"/>
          <w:jc w:val="center"/>
        </w:trPr>
        <w:tc>
          <w:tcPr>
            <w:tcW w:w="3280" w:type="dxa"/>
            <w:shd w:val="clear" w:color="auto" w:fill="auto"/>
            <w:vAlign w:val="bottom"/>
          </w:tcPr>
          <w:p>
            <w:pPr>
              <w:keepNext w:val="0"/>
              <w:keepLines w:val="0"/>
              <w:pageBreakBefore w:val="0"/>
              <w:kinsoku/>
              <w:wordWrap/>
              <w:overflowPunct/>
              <w:topLinePunct w:val="0"/>
              <w:autoSpaceDE/>
              <w:autoSpaceDN/>
              <w:bidi w:val="0"/>
              <w:adjustRightInd w:val="0"/>
              <w:snapToGrid w:val="0"/>
              <w:spacing w:line="360" w:lineRule="auto"/>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业务复杂性</w:t>
            </w:r>
          </w:p>
        </w:tc>
        <w:tc>
          <w:tcPr>
            <w:tcW w:w="5242" w:type="dxa"/>
            <w:shd w:val="clear" w:color="auto" w:fill="auto"/>
            <w:vAlign w:val="bottom"/>
          </w:tcPr>
          <w:p>
            <w:pPr>
              <w:keepNext w:val="0"/>
              <w:keepLines w:val="0"/>
              <w:pageBreakBefore w:val="0"/>
              <w:kinsoku/>
              <w:wordWrap/>
              <w:overflowPunct/>
              <w:topLinePunct w:val="0"/>
              <w:autoSpaceDE/>
              <w:autoSpaceDN/>
              <w:bidi w:val="0"/>
              <w:adjustRightInd w:val="0"/>
              <w:snapToGrid w:val="0"/>
              <w:spacing w:line="360" w:lineRule="auto"/>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平均响应时间参考值(秒)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 w:hRule="atLeast"/>
          <w:jc w:val="center"/>
        </w:trPr>
        <w:tc>
          <w:tcPr>
            <w:tcW w:w="3280" w:type="dxa"/>
            <w:shd w:val="clear" w:color="auto" w:fill="auto"/>
            <w:vAlign w:val="bottom"/>
          </w:tcPr>
          <w:p>
            <w:pPr>
              <w:keepNext w:val="0"/>
              <w:keepLines w:val="0"/>
              <w:pageBreakBefore w:val="0"/>
              <w:kinsoku/>
              <w:wordWrap/>
              <w:overflowPunct/>
              <w:topLinePunct w:val="0"/>
              <w:autoSpaceDE/>
              <w:autoSpaceDN/>
              <w:bidi w:val="0"/>
              <w:adjustRightInd w:val="0"/>
              <w:snapToGrid w:val="0"/>
              <w:spacing w:line="360" w:lineRule="auto"/>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简单查询</w:t>
            </w:r>
          </w:p>
        </w:tc>
        <w:tc>
          <w:tcPr>
            <w:tcW w:w="5242" w:type="dxa"/>
            <w:shd w:val="clear" w:color="auto" w:fill="auto"/>
            <w:vAlign w:val="bottom"/>
          </w:tcPr>
          <w:p>
            <w:pPr>
              <w:keepNext w:val="0"/>
              <w:keepLines w:val="0"/>
              <w:pageBreakBefore w:val="0"/>
              <w:kinsoku/>
              <w:wordWrap/>
              <w:overflowPunct/>
              <w:topLinePunct w:val="0"/>
              <w:autoSpaceDE/>
              <w:autoSpaceDN/>
              <w:bidi w:val="0"/>
              <w:adjustRightInd w:val="0"/>
              <w:snapToGrid w:val="0"/>
              <w:spacing w:line="360" w:lineRule="auto"/>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&lt;3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 w:hRule="atLeast"/>
          <w:jc w:val="center"/>
        </w:trPr>
        <w:tc>
          <w:tcPr>
            <w:tcW w:w="3280" w:type="dxa"/>
            <w:shd w:val="clear" w:color="auto" w:fill="auto"/>
            <w:vAlign w:val="bottom"/>
          </w:tcPr>
          <w:p>
            <w:pPr>
              <w:keepNext w:val="0"/>
              <w:keepLines w:val="0"/>
              <w:pageBreakBefore w:val="0"/>
              <w:kinsoku/>
              <w:wordWrap/>
              <w:overflowPunct/>
              <w:topLinePunct w:val="0"/>
              <w:autoSpaceDE/>
              <w:autoSpaceDN/>
              <w:bidi w:val="0"/>
              <w:adjustRightInd w:val="0"/>
              <w:snapToGrid w:val="0"/>
              <w:spacing w:line="360" w:lineRule="auto"/>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复杂查询</w:t>
            </w:r>
          </w:p>
        </w:tc>
        <w:tc>
          <w:tcPr>
            <w:tcW w:w="5242" w:type="dxa"/>
            <w:shd w:val="clear" w:color="auto" w:fill="auto"/>
            <w:vAlign w:val="bottom"/>
          </w:tcPr>
          <w:p>
            <w:pPr>
              <w:keepNext w:val="0"/>
              <w:keepLines w:val="0"/>
              <w:pageBreakBefore w:val="0"/>
              <w:kinsoku/>
              <w:wordWrap/>
              <w:overflowPunct/>
              <w:topLinePunct w:val="0"/>
              <w:autoSpaceDE/>
              <w:autoSpaceDN/>
              <w:bidi w:val="0"/>
              <w:adjustRightInd w:val="0"/>
              <w:snapToGrid w:val="0"/>
              <w:spacing w:line="360" w:lineRule="auto"/>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3-30</w:t>
            </w:r>
          </w:p>
        </w:tc>
      </w:tr>
    </w:tbl>
    <w:p>
      <w:pPr>
        <w:keepNext w:val="0"/>
        <w:keepLines w:val="0"/>
        <w:pageBreakBefore w:val="0"/>
        <w:widowControl/>
        <w:kinsoku/>
        <w:wordWrap/>
        <w:overflowPunct/>
        <w:topLinePunct w:val="0"/>
        <w:autoSpaceDE/>
        <w:autoSpaceDN/>
        <w:bidi w:val="0"/>
        <w:adjustRightInd w:val="0"/>
        <w:snapToGrid w:val="0"/>
        <w:spacing w:after="0" w:line="360" w:lineRule="auto"/>
        <w:ind w:firstLine="640" w:firstLineChars="200"/>
        <w:jc w:val="both"/>
        <w:textAlignment w:val="auto"/>
        <w:rPr>
          <w:rFonts w:hint="eastAsia" w:ascii="黑体" w:hAnsi="黑体" w:eastAsia="黑体" w:cs="黑体"/>
          <w:color w:val="auto"/>
          <w:sz w:val="32"/>
          <w:szCs w:val="32"/>
          <w:lang w:eastAsia="zh-CN"/>
        </w:rPr>
      </w:pPr>
      <w:bookmarkStart w:id="76" w:name="_Toc31339"/>
      <w:bookmarkStart w:id="77" w:name="_Toc6150"/>
      <w:bookmarkStart w:id="78" w:name="_Toc75691324"/>
      <w:bookmarkStart w:id="79" w:name="_Toc17647"/>
      <w:bookmarkStart w:id="80" w:name="_Toc19237"/>
      <w:bookmarkStart w:id="81" w:name="_Toc6020"/>
      <w:bookmarkStart w:id="82" w:name="_Toc10693"/>
      <w:bookmarkStart w:id="83" w:name="_Toc17738"/>
      <w:bookmarkStart w:id="84" w:name="_Toc22532"/>
    </w:p>
    <w:p>
      <w:pPr>
        <w:keepNext w:val="0"/>
        <w:keepLines w:val="0"/>
        <w:pageBreakBefore w:val="0"/>
        <w:widowControl/>
        <w:kinsoku/>
        <w:wordWrap/>
        <w:overflowPunct/>
        <w:topLinePunct w:val="0"/>
        <w:autoSpaceDE/>
        <w:autoSpaceDN/>
        <w:bidi w:val="0"/>
        <w:adjustRightInd w:val="0"/>
        <w:snapToGrid w:val="0"/>
        <w:spacing w:after="0" w:line="360" w:lineRule="auto"/>
        <w:ind w:firstLine="640" w:firstLineChars="200"/>
        <w:jc w:val="both"/>
        <w:textAlignment w:val="auto"/>
        <w:rPr>
          <w:rFonts w:hint="eastAsia" w:ascii="黑体" w:hAnsi="黑体" w:eastAsia="黑体" w:cs="黑体"/>
          <w:color w:val="auto"/>
          <w:sz w:val="32"/>
          <w:szCs w:val="32"/>
        </w:rPr>
      </w:pPr>
      <w:r>
        <w:rPr>
          <w:rFonts w:hint="eastAsia" w:ascii="黑体" w:hAnsi="黑体" w:eastAsia="黑体" w:cs="黑体"/>
          <w:color w:val="auto"/>
          <w:sz w:val="32"/>
          <w:szCs w:val="32"/>
          <w:lang w:eastAsia="zh-CN"/>
        </w:rPr>
        <w:t>七、</w:t>
      </w:r>
      <w:r>
        <w:rPr>
          <w:rFonts w:hint="eastAsia" w:ascii="黑体" w:hAnsi="黑体" w:eastAsia="黑体" w:cs="黑体"/>
          <w:color w:val="auto"/>
          <w:sz w:val="32"/>
          <w:szCs w:val="32"/>
        </w:rPr>
        <w:t>易用性指标</w:t>
      </w:r>
      <w:bookmarkEnd w:id="76"/>
      <w:bookmarkEnd w:id="77"/>
      <w:bookmarkEnd w:id="78"/>
      <w:bookmarkEnd w:id="79"/>
      <w:bookmarkEnd w:id="80"/>
      <w:bookmarkEnd w:id="81"/>
      <w:bookmarkEnd w:id="82"/>
      <w:bookmarkEnd w:id="83"/>
      <w:bookmarkEnd w:id="84"/>
    </w:p>
    <w:p>
      <w:pPr>
        <w:keepNext w:val="0"/>
        <w:keepLines w:val="0"/>
        <w:pageBreakBefore w:val="0"/>
        <w:widowControl/>
        <w:kinsoku/>
        <w:wordWrap/>
        <w:overflowPunct/>
        <w:topLinePunct w:val="0"/>
        <w:autoSpaceDE/>
        <w:autoSpaceDN/>
        <w:bidi w:val="0"/>
        <w:adjustRightInd w:val="0"/>
        <w:snapToGrid w:val="0"/>
        <w:spacing w:after="0" w:line="360" w:lineRule="auto"/>
        <w:ind w:firstLine="640" w:firstLineChars="200"/>
        <w:jc w:val="both"/>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系统为不同的参与者用户提供实用的功能，所以系统必须贴近实际的应用流程，尽量符合用户的操作习惯。同时还应该考虑到不同操作者的计算机水平不同，在系统的设计时要注重易用性，使大多数的使用者都可以很好地使用系统。</w:t>
      </w:r>
    </w:p>
    <w:p>
      <w:pPr>
        <w:keepNext w:val="0"/>
        <w:keepLines w:val="0"/>
        <w:pageBreakBefore w:val="0"/>
        <w:widowControl/>
        <w:kinsoku/>
        <w:wordWrap/>
        <w:overflowPunct/>
        <w:topLinePunct w:val="0"/>
        <w:autoSpaceDE/>
        <w:autoSpaceDN/>
        <w:bidi w:val="0"/>
        <w:adjustRightInd w:val="0"/>
        <w:snapToGrid w:val="0"/>
        <w:spacing w:after="0" w:line="360" w:lineRule="auto"/>
        <w:jc w:val="both"/>
        <w:textAlignment w:val="auto"/>
        <w:rPr>
          <w:rFonts w:hint="eastAsia" w:ascii="仿宋_GB2312" w:hAnsi="仿宋_GB2312" w:eastAsia="仿宋_GB2312" w:cs="仿宋_GB2312"/>
          <w:color w:val="auto"/>
          <w:sz w:val="32"/>
          <w:szCs w:val="32"/>
        </w:rPr>
      </w:pPr>
      <w:bookmarkStart w:id="85" w:name="_Toc10673"/>
      <w:bookmarkStart w:id="86" w:name="_Toc28422"/>
      <w:bookmarkStart w:id="87" w:name="_Toc8635"/>
      <w:bookmarkStart w:id="88" w:name="_Toc31277"/>
      <w:bookmarkStart w:id="89" w:name="_Toc14925"/>
      <w:bookmarkStart w:id="90" w:name="_Toc26092"/>
      <w:bookmarkStart w:id="91" w:name="_Toc75691325"/>
      <w:bookmarkStart w:id="92" w:name="_Toc30646"/>
      <w:bookmarkStart w:id="93" w:name="_Toc967"/>
      <w:r>
        <w:rPr>
          <w:rFonts w:hint="eastAsia" w:ascii="仿宋_GB2312" w:hAnsi="仿宋_GB2312" w:eastAsia="仿宋_GB2312" w:cs="仿宋_GB2312"/>
          <w:color w:val="auto"/>
          <w:sz w:val="32"/>
          <w:szCs w:val="32"/>
          <w:lang w:val="en-US" w:eastAsia="zh-CN"/>
        </w:rPr>
        <w:t xml:space="preserve">  </w:t>
      </w:r>
      <w:r>
        <w:rPr>
          <w:rFonts w:hint="eastAsia" w:ascii="黑体" w:hAnsi="黑体" w:eastAsia="黑体" w:cs="黑体"/>
          <w:color w:val="auto"/>
          <w:sz w:val="32"/>
          <w:szCs w:val="32"/>
          <w:lang w:val="en-US" w:eastAsia="zh-CN"/>
        </w:rPr>
        <w:t xml:space="preserve">  八、</w:t>
      </w:r>
      <w:r>
        <w:rPr>
          <w:rFonts w:hint="eastAsia" w:ascii="黑体" w:hAnsi="黑体" w:eastAsia="黑体" w:cs="黑体"/>
          <w:color w:val="auto"/>
          <w:sz w:val="32"/>
          <w:szCs w:val="32"/>
        </w:rPr>
        <w:t>可扩展性指标</w:t>
      </w:r>
      <w:bookmarkEnd w:id="85"/>
      <w:bookmarkEnd w:id="86"/>
      <w:bookmarkEnd w:id="87"/>
      <w:bookmarkEnd w:id="88"/>
      <w:bookmarkEnd w:id="89"/>
      <w:bookmarkEnd w:id="90"/>
      <w:bookmarkEnd w:id="91"/>
      <w:bookmarkEnd w:id="92"/>
      <w:bookmarkEnd w:id="93"/>
    </w:p>
    <w:p>
      <w:pPr>
        <w:keepNext w:val="0"/>
        <w:keepLines w:val="0"/>
        <w:pageBreakBefore w:val="0"/>
        <w:widowControl/>
        <w:kinsoku/>
        <w:wordWrap/>
        <w:overflowPunct/>
        <w:topLinePunct w:val="0"/>
        <w:autoSpaceDE/>
        <w:autoSpaceDN/>
        <w:bidi w:val="0"/>
        <w:adjustRightInd w:val="0"/>
        <w:snapToGrid w:val="0"/>
        <w:spacing w:after="0" w:line="360" w:lineRule="auto"/>
        <w:ind w:firstLine="640" w:firstLineChars="200"/>
        <w:jc w:val="both"/>
        <w:textAlignment w:val="auto"/>
        <w:rPr>
          <w:rFonts w:hint="eastAsia" w:ascii="黑体" w:hAnsi="黑体" w:eastAsia="黑体" w:cs="黑体"/>
          <w:color w:val="auto"/>
          <w:sz w:val="32"/>
          <w:szCs w:val="32"/>
        </w:rPr>
      </w:pPr>
      <w:r>
        <w:rPr>
          <w:rFonts w:hint="eastAsia" w:ascii="仿宋_GB2312" w:hAnsi="仿宋_GB2312" w:eastAsia="仿宋_GB2312" w:cs="仿宋_GB2312"/>
          <w:color w:val="auto"/>
          <w:sz w:val="32"/>
          <w:szCs w:val="32"/>
        </w:rPr>
        <w:t>用户的需求都在不断地发生变化，为了更好地满足用户不断增长的需求，须考虑到系统的扩展性问题，要达到增加新功能模块时不会对原有系统架构和功能模块造成太大影响的目标，同时又能够根据实际需求的变化对系统的功能进行扩展。</w:t>
      </w:r>
    </w:p>
    <w:p>
      <w:pPr>
        <w:keepNext w:val="0"/>
        <w:keepLines w:val="0"/>
        <w:pageBreakBefore w:val="0"/>
        <w:widowControl/>
        <w:kinsoku/>
        <w:wordWrap/>
        <w:overflowPunct/>
        <w:topLinePunct w:val="0"/>
        <w:autoSpaceDE/>
        <w:autoSpaceDN/>
        <w:bidi w:val="0"/>
        <w:adjustRightInd w:val="0"/>
        <w:snapToGrid w:val="0"/>
        <w:spacing w:after="0" w:line="360" w:lineRule="auto"/>
        <w:jc w:val="both"/>
        <w:textAlignment w:val="auto"/>
        <w:rPr>
          <w:rFonts w:hint="eastAsia" w:ascii="黑体" w:hAnsi="黑体" w:eastAsia="黑体" w:cs="黑体"/>
          <w:color w:val="auto"/>
          <w:sz w:val="32"/>
          <w:szCs w:val="32"/>
        </w:rPr>
      </w:pPr>
      <w:bookmarkStart w:id="94" w:name="_Toc75691326"/>
      <w:bookmarkStart w:id="95" w:name="_Toc7436"/>
      <w:bookmarkStart w:id="96" w:name="_Toc3012"/>
      <w:bookmarkStart w:id="97" w:name="_Toc12704"/>
      <w:bookmarkStart w:id="98" w:name="_Toc2984"/>
      <w:bookmarkStart w:id="99" w:name="_Toc7255"/>
      <w:bookmarkStart w:id="100" w:name="_Toc30805"/>
      <w:bookmarkStart w:id="101" w:name="_Toc23192"/>
      <w:bookmarkStart w:id="102" w:name="_Toc16102"/>
      <w:r>
        <w:rPr>
          <w:rFonts w:hint="eastAsia" w:ascii="黑体" w:hAnsi="黑体" w:eastAsia="黑体" w:cs="黑体"/>
          <w:color w:val="auto"/>
          <w:sz w:val="32"/>
          <w:szCs w:val="32"/>
          <w:lang w:val="en-US" w:eastAsia="zh-CN"/>
        </w:rPr>
        <w:t xml:space="preserve">    九、</w:t>
      </w:r>
      <w:r>
        <w:rPr>
          <w:rFonts w:hint="eastAsia" w:ascii="黑体" w:hAnsi="黑体" w:eastAsia="黑体" w:cs="黑体"/>
          <w:color w:val="auto"/>
          <w:sz w:val="32"/>
          <w:szCs w:val="32"/>
        </w:rPr>
        <w:t>系统健壮性指标</w:t>
      </w:r>
      <w:bookmarkEnd w:id="94"/>
      <w:bookmarkEnd w:id="95"/>
      <w:bookmarkEnd w:id="96"/>
      <w:bookmarkEnd w:id="97"/>
      <w:bookmarkEnd w:id="98"/>
      <w:bookmarkEnd w:id="99"/>
      <w:bookmarkEnd w:id="100"/>
      <w:bookmarkEnd w:id="101"/>
      <w:bookmarkEnd w:id="102"/>
    </w:p>
    <w:p>
      <w:pPr>
        <w:keepNext w:val="0"/>
        <w:keepLines w:val="0"/>
        <w:pageBreakBefore w:val="0"/>
        <w:widowControl/>
        <w:kinsoku/>
        <w:wordWrap/>
        <w:overflowPunct/>
        <w:topLinePunct w:val="0"/>
        <w:autoSpaceDE/>
        <w:autoSpaceDN/>
        <w:bidi w:val="0"/>
        <w:adjustRightInd w:val="0"/>
        <w:snapToGrid w:val="0"/>
        <w:spacing w:after="0" w:line="360" w:lineRule="auto"/>
        <w:ind w:firstLine="640" w:firstLineChars="200"/>
        <w:jc w:val="both"/>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系统的健壮性也包括系统的稳定性，功能强大的系统如果在运行的过程中时常出现问题，也会对用户造成较大的困扰，所以必须要提高系统的稳定性。同时，用户在对系统进行操作时，由于各种原因会进行误操作，或者输入错误的数据等，系统应能够对这些情况进行处理。系统应保证个别模块出现问题不会对其他模块造成影响。</w:t>
      </w:r>
      <w:bookmarkStart w:id="103" w:name="_Toc7915"/>
      <w:bookmarkStart w:id="104" w:name="_Toc18039"/>
      <w:bookmarkStart w:id="105" w:name="_Toc75691351"/>
      <w:bookmarkStart w:id="106" w:name="_Toc17626"/>
      <w:bookmarkStart w:id="107" w:name="_Toc23079"/>
      <w:bookmarkStart w:id="108" w:name="_Toc29968"/>
      <w:bookmarkStart w:id="109" w:name="_Toc21998"/>
      <w:bookmarkStart w:id="110" w:name="_Toc7179"/>
      <w:bookmarkStart w:id="111" w:name="_Toc5274"/>
    </w:p>
    <w:p>
      <w:pPr>
        <w:keepNext w:val="0"/>
        <w:keepLines w:val="0"/>
        <w:pageBreakBefore w:val="0"/>
        <w:widowControl/>
        <w:numPr>
          <w:ilvl w:val="0"/>
          <w:numId w:val="3"/>
        </w:numPr>
        <w:kinsoku/>
        <w:wordWrap/>
        <w:overflowPunct/>
        <w:topLinePunct w:val="0"/>
        <w:autoSpaceDE/>
        <w:autoSpaceDN/>
        <w:bidi w:val="0"/>
        <w:adjustRightInd w:val="0"/>
        <w:snapToGrid w:val="0"/>
        <w:spacing w:after="0" w:line="360" w:lineRule="auto"/>
        <w:ind w:firstLine="640" w:firstLineChars="200"/>
        <w:jc w:val="both"/>
        <w:textAlignment w:val="auto"/>
        <w:rPr>
          <w:rFonts w:hint="eastAsia" w:ascii="黑体" w:hAnsi="黑体" w:eastAsia="黑体" w:cs="黑体"/>
          <w:color w:val="auto"/>
          <w:sz w:val="32"/>
          <w:szCs w:val="32"/>
        </w:rPr>
      </w:pPr>
      <w:r>
        <w:rPr>
          <w:rFonts w:hint="eastAsia" w:ascii="黑体" w:hAnsi="黑体" w:eastAsia="黑体" w:cs="黑体"/>
          <w:color w:val="auto"/>
          <w:sz w:val="32"/>
          <w:szCs w:val="32"/>
        </w:rPr>
        <w:t>安全</w:t>
      </w:r>
      <w:bookmarkEnd w:id="103"/>
      <w:bookmarkEnd w:id="104"/>
      <w:bookmarkEnd w:id="105"/>
      <w:bookmarkEnd w:id="106"/>
      <w:bookmarkEnd w:id="107"/>
      <w:bookmarkEnd w:id="108"/>
      <w:bookmarkEnd w:id="109"/>
      <w:bookmarkEnd w:id="110"/>
      <w:bookmarkEnd w:id="111"/>
      <w:r>
        <w:rPr>
          <w:rFonts w:hint="eastAsia" w:ascii="黑体" w:hAnsi="黑体" w:eastAsia="黑体" w:cs="黑体"/>
          <w:color w:val="auto"/>
          <w:sz w:val="32"/>
          <w:szCs w:val="32"/>
          <w:lang w:eastAsia="zh-CN"/>
        </w:rPr>
        <w:t>等级要求</w:t>
      </w:r>
    </w:p>
    <w:p>
      <w:pPr>
        <w:keepNext w:val="0"/>
        <w:keepLines w:val="0"/>
        <w:pageBreakBefore w:val="0"/>
        <w:widowControl/>
        <w:numPr>
          <w:ilvl w:val="0"/>
          <w:numId w:val="0"/>
        </w:numPr>
        <w:kinsoku/>
        <w:wordWrap/>
        <w:overflowPunct/>
        <w:topLinePunct w:val="0"/>
        <w:autoSpaceDE/>
        <w:autoSpaceDN/>
        <w:bidi w:val="0"/>
        <w:adjustRightInd w:val="0"/>
        <w:snapToGrid w:val="0"/>
        <w:spacing w:after="0" w:line="360" w:lineRule="auto"/>
        <w:ind w:firstLine="640" w:firstLineChars="200"/>
        <w:jc w:val="both"/>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bCs/>
          <w:color w:val="auto"/>
          <w:kern w:val="2"/>
          <w:sz w:val="32"/>
          <w:szCs w:val="32"/>
        </w:rPr>
        <w:t>吉林市居家和社区养老服务信息平台</w:t>
      </w:r>
      <w:r>
        <w:rPr>
          <w:rFonts w:hint="eastAsia" w:ascii="仿宋_GB2312" w:hAnsi="仿宋_GB2312" w:eastAsia="仿宋_GB2312" w:cs="仿宋_GB2312"/>
          <w:color w:val="auto"/>
          <w:sz w:val="32"/>
          <w:szCs w:val="32"/>
        </w:rPr>
        <w:t>的信息安全等级保护为三级。严格执行《 GB/T 22239—2008信息安全技术信息系统安全等级保护基本要求》等系列标准、规范。安全和网络设备全部使用国产软件、硬件产品。</w:t>
      </w:r>
    </w:p>
    <w:p>
      <w:pPr>
        <w:keepNext w:val="0"/>
        <w:keepLines w:val="0"/>
        <w:pageBreakBefore w:val="0"/>
        <w:widowControl/>
        <w:kinsoku/>
        <w:wordWrap/>
        <w:overflowPunct/>
        <w:topLinePunct w:val="0"/>
        <w:autoSpaceDE/>
        <w:autoSpaceDN/>
        <w:bidi w:val="0"/>
        <w:adjustRightInd w:val="0"/>
        <w:snapToGrid w:val="0"/>
        <w:spacing w:after="0" w:line="360" w:lineRule="auto"/>
        <w:jc w:val="both"/>
        <w:textAlignment w:val="auto"/>
        <w:rPr>
          <w:rFonts w:hint="eastAsia" w:ascii="仿宋_GB2312" w:hAnsi="仿宋_GB2312" w:eastAsia="仿宋_GB2312" w:cs="仿宋_GB2312"/>
          <w:color w:val="auto"/>
          <w:sz w:val="32"/>
          <w:szCs w:val="32"/>
        </w:rPr>
      </w:pPr>
      <w:bookmarkStart w:id="112" w:name="_Toc75691398"/>
      <w:bookmarkStart w:id="113" w:name="_Toc18719"/>
      <w:bookmarkStart w:id="114" w:name="_Toc14674"/>
      <w:bookmarkStart w:id="115" w:name="_Toc14254"/>
      <w:bookmarkStart w:id="116" w:name="_Toc11754"/>
      <w:bookmarkStart w:id="117" w:name="_Toc17350"/>
      <w:bookmarkStart w:id="118" w:name="_Toc29291"/>
      <w:bookmarkStart w:id="119" w:name="_Toc14366"/>
      <w:bookmarkStart w:id="120" w:name="_Toc32704"/>
      <w:r>
        <w:rPr>
          <w:rFonts w:hint="eastAsia" w:ascii="仿宋_GB2312" w:hAnsi="仿宋_GB2312" w:eastAsia="仿宋_GB2312" w:cs="仿宋_GB2312"/>
          <w:color w:val="auto"/>
          <w:sz w:val="32"/>
          <w:szCs w:val="32"/>
          <w:lang w:val="en-US" w:eastAsia="zh-CN"/>
        </w:rPr>
        <w:t xml:space="preserve">    </w:t>
      </w:r>
      <w:r>
        <w:rPr>
          <w:rFonts w:hint="eastAsia" w:ascii="黑体" w:hAnsi="黑体" w:eastAsia="黑体" w:cs="黑体"/>
          <w:color w:val="auto"/>
          <w:sz w:val="32"/>
          <w:szCs w:val="32"/>
          <w:lang w:val="en-US" w:eastAsia="zh-CN"/>
        </w:rPr>
        <w:t>十一、</w:t>
      </w:r>
      <w:r>
        <w:rPr>
          <w:rFonts w:hint="eastAsia" w:ascii="黑体" w:hAnsi="黑体" w:eastAsia="黑体" w:cs="黑体"/>
          <w:color w:val="auto"/>
          <w:sz w:val="32"/>
          <w:szCs w:val="32"/>
        </w:rPr>
        <w:t>服务交付要求</w:t>
      </w:r>
      <w:bookmarkEnd w:id="112"/>
      <w:bookmarkEnd w:id="113"/>
      <w:bookmarkEnd w:id="114"/>
      <w:bookmarkEnd w:id="115"/>
      <w:bookmarkEnd w:id="116"/>
      <w:bookmarkEnd w:id="117"/>
      <w:bookmarkEnd w:id="118"/>
      <w:bookmarkEnd w:id="119"/>
      <w:bookmarkEnd w:id="120"/>
    </w:p>
    <w:p>
      <w:pPr>
        <w:keepNext w:val="0"/>
        <w:keepLines w:val="0"/>
        <w:pageBreakBefore w:val="0"/>
        <w:widowControl/>
        <w:kinsoku/>
        <w:wordWrap/>
        <w:overflowPunct/>
        <w:topLinePunct w:val="0"/>
        <w:autoSpaceDE/>
        <w:autoSpaceDN/>
        <w:bidi w:val="0"/>
        <w:adjustRightInd w:val="0"/>
        <w:snapToGrid w:val="0"/>
        <w:spacing w:after="0" w:line="360" w:lineRule="auto"/>
        <w:ind w:firstLine="640" w:firstLineChars="200"/>
        <w:jc w:val="both"/>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bCs/>
          <w:color w:val="auto"/>
          <w:kern w:val="2"/>
          <w:sz w:val="32"/>
          <w:szCs w:val="32"/>
        </w:rPr>
        <w:t>吉林市居家和社区养老服务信息平台</w:t>
      </w:r>
      <w:r>
        <w:rPr>
          <w:rFonts w:hint="eastAsia" w:ascii="仿宋_GB2312" w:hAnsi="仿宋_GB2312" w:eastAsia="仿宋_GB2312" w:cs="仿宋_GB2312"/>
          <w:color w:val="auto"/>
          <w:sz w:val="32"/>
          <w:szCs w:val="32"/>
        </w:rPr>
        <w:t>建设完成后30个工作日内</w:t>
      </w:r>
      <w:r>
        <w:rPr>
          <w:rFonts w:hint="eastAsia" w:ascii="仿宋_GB2312" w:hAnsi="仿宋_GB2312" w:eastAsia="仿宋_GB2312" w:cs="仿宋_GB2312"/>
          <w:color w:val="auto"/>
          <w:sz w:val="32"/>
          <w:szCs w:val="32"/>
          <w:lang w:eastAsia="zh-CN"/>
        </w:rPr>
        <w:t>，按相关规定</w:t>
      </w:r>
      <w:r>
        <w:rPr>
          <w:rFonts w:hint="eastAsia" w:ascii="仿宋_GB2312" w:hAnsi="仿宋_GB2312" w:eastAsia="仿宋_GB2312" w:cs="仿宋_GB2312"/>
          <w:color w:val="auto"/>
          <w:sz w:val="32"/>
          <w:szCs w:val="32"/>
        </w:rPr>
        <w:t>完成</w:t>
      </w:r>
      <w:r>
        <w:rPr>
          <w:rFonts w:hint="eastAsia" w:ascii="仿宋_GB2312" w:hAnsi="仿宋_GB2312" w:eastAsia="仿宋_GB2312" w:cs="仿宋_GB2312"/>
          <w:color w:val="auto"/>
          <w:sz w:val="32"/>
          <w:szCs w:val="32"/>
          <w:lang w:eastAsia="zh-CN"/>
        </w:rPr>
        <w:t>在</w:t>
      </w:r>
      <w:r>
        <w:rPr>
          <w:rFonts w:hint="eastAsia" w:ascii="仿宋_GB2312" w:hAnsi="仿宋_GB2312" w:eastAsia="仿宋_GB2312" w:cs="仿宋_GB2312"/>
          <w:color w:val="auto"/>
          <w:sz w:val="32"/>
          <w:szCs w:val="32"/>
        </w:rPr>
        <w:t>云平台</w:t>
      </w:r>
      <w:r>
        <w:rPr>
          <w:rFonts w:hint="eastAsia" w:ascii="仿宋_GB2312" w:hAnsi="仿宋_GB2312" w:eastAsia="仿宋_GB2312" w:cs="仿宋_GB2312"/>
          <w:color w:val="auto"/>
          <w:sz w:val="32"/>
          <w:szCs w:val="32"/>
          <w:lang w:eastAsia="zh-CN"/>
        </w:rPr>
        <w:t>的</w:t>
      </w:r>
      <w:r>
        <w:rPr>
          <w:rFonts w:hint="eastAsia" w:ascii="仿宋_GB2312" w:hAnsi="仿宋_GB2312" w:eastAsia="仿宋_GB2312" w:cs="仿宋_GB2312"/>
          <w:color w:val="auto"/>
          <w:sz w:val="32"/>
          <w:szCs w:val="32"/>
        </w:rPr>
        <w:t>部署</w:t>
      </w:r>
      <w:r>
        <w:rPr>
          <w:rFonts w:hint="eastAsia" w:ascii="仿宋_GB2312" w:hAnsi="仿宋_GB2312" w:eastAsia="仿宋_GB2312" w:cs="仿宋_GB2312"/>
          <w:color w:val="auto"/>
          <w:sz w:val="32"/>
          <w:szCs w:val="32"/>
          <w:lang w:eastAsia="zh-CN"/>
        </w:rPr>
        <w:t>工作</w:t>
      </w:r>
      <w:r>
        <w:rPr>
          <w:rFonts w:hint="eastAsia" w:ascii="仿宋_GB2312" w:hAnsi="仿宋_GB2312" w:eastAsia="仿宋_GB2312" w:cs="仿宋_GB2312"/>
          <w:color w:val="auto"/>
          <w:sz w:val="32"/>
          <w:szCs w:val="32"/>
        </w:rPr>
        <w:t>。</w:t>
      </w:r>
    </w:p>
    <w:p>
      <w:pPr>
        <w:keepNext w:val="0"/>
        <w:keepLines w:val="0"/>
        <w:pageBreakBefore w:val="0"/>
        <w:widowControl/>
        <w:numPr>
          <w:ilvl w:val="0"/>
          <w:numId w:val="0"/>
        </w:numPr>
        <w:kinsoku/>
        <w:wordWrap/>
        <w:overflowPunct/>
        <w:topLinePunct w:val="0"/>
        <w:autoSpaceDE/>
        <w:autoSpaceDN/>
        <w:bidi w:val="0"/>
        <w:adjustRightInd w:val="0"/>
        <w:snapToGrid w:val="0"/>
        <w:spacing w:after="0" w:line="360" w:lineRule="auto"/>
        <w:ind w:firstLine="640" w:firstLineChars="200"/>
        <w:jc w:val="both"/>
        <w:textAlignment w:val="auto"/>
        <w:rPr>
          <w:rFonts w:hint="eastAsia" w:ascii="黑体" w:hAnsi="黑体" w:eastAsia="黑体" w:cs="黑体"/>
          <w:color w:val="auto"/>
          <w:sz w:val="32"/>
          <w:szCs w:val="32"/>
          <w:lang w:eastAsia="zh-CN"/>
        </w:rPr>
      </w:pPr>
      <w:bookmarkStart w:id="121" w:name="_Toc3710"/>
      <w:bookmarkStart w:id="122" w:name="_Toc8656"/>
      <w:bookmarkStart w:id="123" w:name="_Toc29090"/>
      <w:bookmarkStart w:id="124" w:name="_Toc75691410"/>
      <w:bookmarkStart w:id="125" w:name="_Toc2697"/>
      <w:bookmarkStart w:id="126" w:name="_Toc32045"/>
      <w:bookmarkStart w:id="127" w:name="_Toc17949"/>
      <w:bookmarkStart w:id="128" w:name="_Toc7024"/>
      <w:bookmarkStart w:id="129" w:name="_Toc29660"/>
      <w:r>
        <w:rPr>
          <w:rFonts w:hint="eastAsia" w:ascii="黑体" w:hAnsi="黑体" w:eastAsia="黑体" w:cs="黑体"/>
          <w:color w:val="auto"/>
          <w:sz w:val="32"/>
          <w:szCs w:val="32"/>
          <w:lang w:eastAsia="zh-CN"/>
        </w:rPr>
        <w:t>十二、</w:t>
      </w:r>
      <w:r>
        <w:rPr>
          <w:rFonts w:hint="eastAsia" w:ascii="黑体" w:hAnsi="黑体" w:eastAsia="黑体" w:cs="黑体"/>
          <w:color w:val="auto"/>
          <w:sz w:val="32"/>
          <w:szCs w:val="32"/>
        </w:rPr>
        <w:t>运行维护</w:t>
      </w:r>
      <w:bookmarkEnd w:id="121"/>
      <w:bookmarkEnd w:id="122"/>
      <w:bookmarkEnd w:id="123"/>
      <w:bookmarkEnd w:id="124"/>
      <w:bookmarkEnd w:id="125"/>
      <w:bookmarkEnd w:id="126"/>
      <w:bookmarkEnd w:id="127"/>
      <w:bookmarkEnd w:id="128"/>
      <w:bookmarkEnd w:id="129"/>
      <w:r>
        <w:rPr>
          <w:rFonts w:hint="eastAsia" w:ascii="黑体" w:hAnsi="黑体" w:eastAsia="黑体" w:cs="黑体"/>
          <w:color w:val="auto"/>
          <w:sz w:val="32"/>
          <w:szCs w:val="32"/>
          <w:lang w:eastAsia="zh-CN"/>
        </w:rPr>
        <w:t>要求</w:t>
      </w:r>
    </w:p>
    <w:p>
      <w:pPr>
        <w:keepNext w:val="0"/>
        <w:keepLines w:val="0"/>
        <w:pageBreakBefore w:val="0"/>
        <w:widowControl/>
        <w:numPr>
          <w:ilvl w:val="0"/>
          <w:numId w:val="0"/>
        </w:numPr>
        <w:kinsoku/>
        <w:wordWrap/>
        <w:overflowPunct/>
        <w:topLinePunct w:val="0"/>
        <w:autoSpaceDE/>
        <w:autoSpaceDN/>
        <w:bidi w:val="0"/>
        <w:adjustRightInd w:val="0"/>
        <w:snapToGrid w:val="0"/>
        <w:spacing w:after="0" w:line="360" w:lineRule="auto"/>
        <w:ind w:firstLine="640" w:firstLineChars="200"/>
        <w:jc w:val="both"/>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eastAsia="zh-CN"/>
        </w:rPr>
        <w:t>中标方</w:t>
      </w:r>
      <w:r>
        <w:rPr>
          <w:rFonts w:hint="eastAsia" w:ascii="仿宋_GB2312" w:hAnsi="仿宋_GB2312" w:eastAsia="仿宋_GB2312" w:cs="仿宋_GB2312"/>
          <w:color w:val="auto"/>
          <w:sz w:val="32"/>
          <w:szCs w:val="32"/>
        </w:rPr>
        <w:t>负责居家和社区养老服务信息平台开发；平台</w:t>
      </w:r>
      <w:r>
        <w:rPr>
          <w:rFonts w:hint="eastAsia" w:ascii="仿宋_GB2312" w:hAnsi="仿宋_GB2312" w:eastAsia="仿宋_GB2312" w:cs="仿宋_GB2312"/>
          <w:color w:val="auto"/>
          <w:sz w:val="32"/>
          <w:szCs w:val="32"/>
          <w:lang w:eastAsia="zh-CN"/>
        </w:rPr>
        <w:t>各个</w:t>
      </w:r>
      <w:r>
        <w:rPr>
          <w:rFonts w:hint="eastAsia" w:ascii="仿宋_GB2312" w:hAnsi="仿宋_GB2312" w:eastAsia="仿宋_GB2312" w:cs="仿宋_GB2312"/>
          <w:color w:val="auto"/>
          <w:sz w:val="32"/>
          <w:szCs w:val="32"/>
        </w:rPr>
        <w:t>系统的功能维护，保证已经上线功能正常运行；</w:t>
      </w:r>
      <w:r>
        <w:rPr>
          <w:rFonts w:hint="eastAsia" w:ascii="仿宋_GB2312" w:hAnsi="仿宋_GB2312" w:eastAsia="仿宋_GB2312" w:cs="仿宋_GB2312"/>
          <w:color w:val="auto"/>
          <w:sz w:val="32"/>
          <w:szCs w:val="32"/>
          <w:lang w:eastAsia="zh-CN"/>
        </w:rPr>
        <w:t>按照要求的时限对</w:t>
      </w:r>
      <w:r>
        <w:rPr>
          <w:rFonts w:hint="eastAsia" w:ascii="仿宋_GB2312" w:hAnsi="仿宋_GB2312" w:eastAsia="仿宋_GB2312" w:cs="仿宋_GB2312"/>
          <w:color w:val="auto"/>
          <w:sz w:val="32"/>
          <w:szCs w:val="32"/>
        </w:rPr>
        <w:t>已经上线功能字段型增加、减少、调序，保证实际工作开展；</w:t>
      </w:r>
      <w:r>
        <w:rPr>
          <w:rFonts w:hint="eastAsia" w:ascii="仿宋_GB2312" w:hAnsi="仿宋_GB2312" w:eastAsia="仿宋_GB2312" w:cs="仿宋_GB2312"/>
          <w:color w:val="auto"/>
          <w:sz w:val="32"/>
          <w:szCs w:val="32"/>
          <w:lang w:eastAsia="zh-CN"/>
        </w:rPr>
        <w:t>按照要求的时限进行</w:t>
      </w:r>
      <w:r>
        <w:rPr>
          <w:rFonts w:hint="eastAsia" w:ascii="仿宋_GB2312" w:hAnsi="仿宋_GB2312" w:eastAsia="仿宋_GB2312" w:cs="仿宋_GB2312"/>
          <w:color w:val="auto"/>
          <w:sz w:val="32"/>
          <w:szCs w:val="32"/>
        </w:rPr>
        <w:t>新业务功能的开发和新旧业务对接，保证平台与居家养老</w:t>
      </w:r>
      <w:r>
        <w:rPr>
          <w:rFonts w:hint="eastAsia" w:ascii="仿宋_GB2312" w:hAnsi="仿宋_GB2312" w:eastAsia="仿宋_GB2312" w:cs="仿宋_GB2312"/>
          <w:color w:val="auto"/>
          <w:sz w:val="32"/>
          <w:szCs w:val="32"/>
          <w:lang w:eastAsia="zh-CN"/>
        </w:rPr>
        <w:t>服务</w:t>
      </w:r>
      <w:r>
        <w:rPr>
          <w:rFonts w:hint="eastAsia" w:ascii="仿宋_GB2312" w:hAnsi="仿宋_GB2312" w:eastAsia="仿宋_GB2312" w:cs="仿宋_GB2312"/>
          <w:color w:val="auto"/>
          <w:sz w:val="32"/>
          <w:szCs w:val="32"/>
        </w:rPr>
        <w:t>发展</w:t>
      </w:r>
      <w:r>
        <w:rPr>
          <w:rFonts w:hint="eastAsia" w:ascii="仿宋_GB2312" w:hAnsi="仿宋_GB2312" w:eastAsia="仿宋_GB2312" w:cs="仿宋_GB2312"/>
          <w:color w:val="auto"/>
          <w:sz w:val="32"/>
          <w:szCs w:val="32"/>
          <w:lang w:eastAsia="zh-CN"/>
        </w:rPr>
        <w:t>需要</w:t>
      </w:r>
      <w:r>
        <w:rPr>
          <w:rFonts w:hint="eastAsia" w:ascii="仿宋_GB2312" w:hAnsi="仿宋_GB2312" w:eastAsia="仿宋_GB2312" w:cs="仿宋_GB2312"/>
          <w:color w:val="auto"/>
          <w:sz w:val="32"/>
          <w:szCs w:val="32"/>
        </w:rPr>
        <w:t>同步；推荐新技术、新场景应用，保证平台的先进性；应用培训，保证工作人员熟练应用平台；完成与项目建设单位共同协商一致的其他工作。</w:t>
      </w:r>
      <w:bookmarkStart w:id="130" w:name="_Toc60919713"/>
    </w:p>
    <w:p>
      <w:pPr>
        <w:keepNext w:val="0"/>
        <w:keepLines w:val="0"/>
        <w:pageBreakBefore w:val="0"/>
        <w:widowControl/>
        <w:numPr>
          <w:ilvl w:val="0"/>
          <w:numId w:val="0"/>
        </w:numPr>
        <w:kinsoku/>
        <w:wordWrap/>
        <w:overflowPunct/>
        <w:topLinePunct w:val="0"/>
        <w:autoSpaceDE/>
        <w:autoSpaceDN/>
        <w:bidi w:val="0"/>
        <w:adjustRightInd w:val="0"/>
        <w:snapToGrid w:val="0"/>
        <w:spacing w:after="0" w:line="360" w:lineRule="auto"/>
        <w:ind w:firstLine="640" w:firstLineChars="200"/>
        <w:jc w:val="both"/>
        <w:textAlignment w:val="auto"/>
        <w:rPr>
          <w:rFonts w:hint="eastAsia" w:ascii="黑体" w:hAnsi="黑体" w:eastAsia="黑体" w:cs="黑体"/>
          <w:color w:val="auto"/>
          <w:sz w:val="32"/>
          <w:szCs w:val="32"/>
          <w:lang w:eastAsia="zh-CN"/>
        </w:rPr>
      </w:pPr>
      <w:r>
        <w:rPr>
          <w:rFonts w:hint="eastAsia" w:ascii="黑体" w:hAnsi="黑体" w:eastAsia="黑体" w:cs="黑体"/>
          <w:color w:val="auto"/>
          <w:sz w:val="32"/>
          <w:szCs w:val="32"/>
          <w:lang w:eastAsia="zh-CN"/>
        </w:rPr>
        <w:t>十三、</w:t>
      </w:r>
      <w:r>
        <w:rPr>
          <w:rFonts w:hint="eastAsia" w:ascii="黑体" w:hAnsi="黑体" w:eastAsia="黑体" w:cs="黑体"/>
          <w:color w:val="auto"/>
          <w:sz w:val="32"/>
          <w:szCs w:val="32"/>
        </w:rPr>
        <w:t>培训</w:t>
      </w:r>
      <w:bookmarkEnd w:id="130"/>
      <w:r>
        <w:rPr>
          <w:rFonts w:hint="eastAsia" w:ascii="黑体" w:hAnsi="黑体" w:eastAsia="黑体" w:cs="黑体"/>
          <w:color w:val="auto"/>
          <w:sz w:val="32"/>
          <w:szCs w:val="32"/>
        </w:rPr>
        <w:t>方式</w:t>
      </w:r>
    </w:p>
    <w:p>
      <w:pPr>
        <w:keepNext w:val="0"/>
        <w:keepLines w:val="0"/>
        <w:pageBreakBefore w:val="0"/>
        <w:widowControl/>
        <w:kinsoku/>
        <w:wordWrap/>
        <w:overflowPunct/>
        <w:topLinePunct w:val="0"/>
        <w:autoSpaceDE/>
        <w:autoSpaceDN/>
        <w:bidi w:val="0"/>
        <w:adjustRightInd w:val="0"/>
        <w:snapToGrid w:val="0"/>
        <w:spacing w:after="0" w:line="360" w:lineRule="auto"/>
        <w:jc w:val="both"/>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val="en-US" w:eastAsia="zh-CN"/>
        </w:rPr>
        <w:t xml:space="preserve">    </w:t>
      </w:r>
      <w:r>
        <w:rPr>
          <w:rFonts w:hint="eastAsia" w:ascii="楷体" w:hAnsi="楷体" w:eastAsia="楷体" w:cs="楷体"/>
          <w:color w:val="auto"/>
          <w:sz w:val="32"/>
          <w:szCs w:val="32"/>
          <w:lang w:val="en-US" w:eastAsia="zh-CN"/>
        </w:rPr>
        <w:t>（一）</w:t>
      </w:r>
      <w:r>
        <w:rPr>
          <w:rFonts w:hint="eastAsia" w:ascii="楷体" w:hAnsi="楷体" w:eastAsia="楷体" w:cs="楷体"/>
          <w:color w:val="auto"/>
          <w:sz w:val="32"/>
          <w:szCs w:val="32"/>
        </w:rPr>
        <w:t>集中培训。</w:t>
      </w:r>
      <w:r>
        <w:rPr>
          <w:rFonts w:hint="eastAsia" w:ascii="仿宋_GB2312" w:hAnsi="仿宋_GB2312" w:eastAsia="仿宋_GB2312" w:cs="仿宋_GB2312"/>
          <w:color w:val="auto"/>
          <w:sz w:val="32"/>
          <w:szCs w:val="32"/>
        </w:rPr>
        <w:t>主要</w:t>
      </w:r>
      <w:bookmarkStart w:id="131" w:name="_Hlk33377818"/>
      <w:r>
        <w:rPr>
          <w:rFonts w:hint="eastAsia" w:ascii="仿宋_GB2312" w:hAnsi="仿宋_GB2312" w:eastAsia="仿宋_GB2312" w:cs="仿宋_GB2312"/>
          <w:color w:val="auto"/>
          <w:sz w:val="32"/>
          <w:szCs w:val="32"/>
        </w:rPr>
        <w:t>培训社区和民政</w:t>
      </w:r>
      <w:bookmarkEnd w:id="131"/>
      <w:r>
        <w:rPr>
          <w:rFonts w:hint="eastAsia" w:ascii="仿宋_GB2312" w:hAnsi="仿宋_GB2312" w:eastAsia="仿宋_GB2312" w:cs="仿宋_GB2312"/>
          <w:color w:val="auto"/>
          <w:sz w:val="32"/>
          <w:szCs w:val="32"/>
        </w:rPr>
        <w:t>部门信息管理员。主要培训内容是信息管理员业务操作和工作人员业务操作。通过培训，使他们掌握业务操作技能、操作流程。</w:t>
      </w:r>
    </w:p>
    <w:p>
      <w:pPr>
        <w:keepNext w:val="0"/>
        <w:keepLines w:val="0"/>
        <w:pageBreakBefore w:val="0"/>
        <w:widowControl/>
        <w:kinsoku/>
        <w:wordWrap/>
        <w:overflowPunct/>
        <w:topLinePunct w:val="0"/>
        <w:autoSpaceDE/>
        <w:autoSpaceDN/>
        <w:bidi w:val="0"/>
        <w:adjustRightInd w:val="0"/>
        <w:snapToGrid w:val="0"/>
        <w:spacing w:after="0" w:line="360" w:lineRule="auto"/>
        <w:jc w:val="both"/>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val="en-US" w:eastAsia="zh-CN"/>
        </w:rPr>
        <w:t xml:space="preserve">    </w:t>
      </w:r>
      <w:r>
        <w:rPr>
          <w:rFonts w:hint="eastAsia" w:ascii="楷体" w:hAnsi="楷体" w:eastAsia="楷体" w:cs="楷体"/>
          <w:color w:val="auto"/>
          <w:sz w:val="32"/>
          <w:szCs w:val="32"/>
          <w:lang w:val="en-US" w:eastAsia="zh-CN"/>
        </w:rPr>
        <w:t>（二）</w:t>
      </w:r>
      <w:r>
        <w:rPr>
          <w:rFonts w:hint="eastAsia" w:ascii="楷体" w:hAnsi="楷体" w:eastAsia="楷体" w:cs="楷体"/>
          <w:color w:val="auto"/>
          <w:sz w:val="32"/>
          <w:szCs w:val="32"/>
        </w:rPr>
        <w:t>现场培训。</w:t>
      </w:r>
      <w:r>
        <w:rPr>
          <w:rFonts w:hint="eastAsia" w:ascii="仿宋_GB2312" w:hAnsi="仿宋_GB2312" w:eastAsia="仿宋_GB2312" w:cs="仿宋_GB2312"/>
          <w:color w:val="auto"/>
          <w:sz w:val="32"/>
          <w:szCs w:val="32"/>
        </w:rPr>
        <w:t>主要面向个别社区工作人员、民政工作人员组织的不特定对象的培训。主要培训内容是针对特定对象需求，解决特定对象应用问题。通过培训，使不特定对象掌握特定功能的使用方法和技巧。</w:t>
      </w:r>
    </w:p>
    <w:p>
      <w:pPr>
        <w:keepNext w:val="0"/>
        <w:keepLines w:val="0"/>
        <w:pageBreakBefore w:val="0"/>
        <w:widowControl/>
        <w:kinsoku/>
        <w:wordWrap/>
        <w:overflowPunct/>
        <w:topLinePunct w:val="0"/>
        <w:autoSpaceDE/>
        <w:autoSpaceDN/>
        <w:bidi w:val="0"/>
        <w:adjustRightInd w:val="0"/>
        <w:snapToGrid w:val="0"/>
        <w:spacing w:after="0" w:line="360" w:lineRule="auto"/>
        <w:jc w:val="both"/>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val="en-US" w:eastAsia="zh-CN"/>
        </w:rPr>
        <w:t xml:space="preserve">    </w:t>
      </w:r>
      <w:r>
        <w:rPr>
          <w:rFonts w:hint="eastAsia" w:ascii="楷体" w:hAnsi="楷体" w:eastAsia="楷体" w:cs="楷体"/>
          <w:color w:val="auto"/>
          <w:sz w:val="32"/>
          <w:szCs w:val="32"/>
          <w:lang w:val="en-US" w:eastAsia="zh-CN"/>
        </w:rPr>
        <w:t>（三）</w:t>
      </w:r>
      <w:r>
        <w:rPr>
          <w:rFonts w:hint="eastAsia" w:ascii="楷体" w:hAnsi="楷体" w:eastAsia="楷体" w:cs="楷体"/>
          <w:color w:val="auto"/>
          <w:sz w:val="32"/>
          <w:szCs w:val="32"/>
        </w:rPr>
        <w:t>在线培训。</w:t>
      </w:r>
      <w:r>
        <w:rPr>
          <w:rFonts w:hint="eastAsia" w:ascii="仿宋_GB2312" w:hAnsi="仿宋_GB2312" w:eastAsia="仿宋_GB2312" w:cs="仿宋_GB2312"/>
          <w:color w:val="auto"/>
          <w:sz w:val="32"/>
          <w:szCs w:val="32"/>
        </w:rPr>
        <w:t>主要面向所有用户的通用培训。培训内容是平台各端各个功能的操作指南讲解视频，用户可以在操作过程中随时打开视频资料，跟随视频讲解进行操作。通过培训，使用户掌握自己常用功能的操作。</w:t>
      </w:r>
    </w:p>
    <w:p>
      <w:pPr>
        <w:keepNext w:val="0"/>
        <w:keepLines w:val="0"/>
        <w:pageBreakBefore w:val="0"/>
        <w:widowControl/>
        <w:kinsoku/>
        <w:wordWrap/>
        <w:overflowPunct/>
        <w:topLinePunct w:val="0"/>
        <w:autoSpaceDE/>
        <w:autoSpaceDN/>
        <w:bidi w:val="0"/>
        <w:adjustRightInd w:val="0"/>
        <w:snapToGrid w:val="0"/>
        <w:spacing w:after="0" w:line="360" w:lineRule="auto"/>
        <w:jc w:val="both"/>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val="en-US" w:eastAsia="zh-CN"/>
        </w:rPr>
        <w:t xml:space="preserve">   </w:t>
      </w:r>
      <w:r>
        <w:rPr>
          <w:rFonts w:hint="eastAsia" w:ascii="楷体" w:hAnsi="楷体" w:eastAsia="楷体" w:cs="楷体"/>
          <w:color w:val="auto"/>
          <w:sz w:val="32"/>
          <w:szCs w:val="32"/>
          <w:lang w:val="en-US" w:eastAsia="zh-CN"/>
        </w:rPr>
        <w:t xml:space="preserve"> （四）</w:t>
      </w:r>
      <w:r>
        <w:rPr>
          <w:rFonts w:hint="eastAsia" w:ascii="楷体" w:hAnsi="楷体" w:eastAsia="楷体" w:cs="楷体"/>
          <w:color w:val="auto"/>
          <w:sz w:val="32"/>
          <w:szCs w:val="32"/>
        </w:rPr>
        <w:t>问答培训。</w:t>
      </w:r>
      <w:r>
        <w:rPr>
          <w:rFonts w:hint="eastAsia" w:ascii="仿宋_GB2312" w:hAnsi="仿宋_GB2312" w:eastAsia="仿宋_GB2312" w:cs="仿宋_GB2312"/>
          <w:color w:val="auto"/>
          <w:sz w:val="32"/>
          <w:szCs w:val="32"/>
        </w:rPr>
        <w:t>主要面向在线用户提出的各类问题进行在线解答。通过解答帮助用户掌握使用技巧。</w:t>
      </w:r>
    </w:p>
    <w:p>
      <w:pPr>
        <w:keepNext w:val="0"/>
        <w:keepLines w:val="0"/>
        <w:pageBreakBefore w:val="0"/>
        <w:widowControl/>
        <w:kinsoku/>
        <w:wordWrap/>
        <w:overflowPunct/>
        <w:topLinePunct w:val="0"/>
        <w:autoSpaceDE/>
        <w:autoSpaceDN/>
        <w:bidi w:val="0"/>
        <w:adjustRightInd w:val="0"/>
        <w:snapToGrid w:val="0"/>
        <w:spacing w:after="0" w:line="360" w:lineRule="auto"/>
        <w:ind w:firstLine="640"/>
        <w:jc w:val="both"/>
        <w:textAlignment w:val="auto"/>
        <w:rPr>
          <w:rFonts w:hint="eastAsia" w:ascii="仿宋_GB2312" w:hAnsi="仿宋_GB2312" w:eastAsia="仿宋_GB2312" w:cs="仿宋_GB2312"/>
          <w:color w:val="auto"/>
          <w:sz w:val="32"/>
          <w:szCs w:val="32"/>
        </w:rPr>
      </w:pPr>
      <w:r>
        <w:rPr>
          <w:rFonts w:hint="eastAsia" w:ascii="楷体" w:hAnsi="楷体" w:eastAsia="楷体" w:cs="楷体"/>
          <w:color w:val="auto"/>
          <w:sz w:val="32"/>
          <w:szCs w:val="32"/>
          <w:lang w:val="en-US" w:eastAsia="zh-CN"/>
        </w:rPr>
        <w:t>（五）</w:t>
      </w:r>
      <w:r>
        <w:rPr>
          <w:rFonts w:hint="eastAsia" w:ascii="楷体" w:hAnsi="楷体" w:eastAsia="楷体" w:cs="楷体"/>
          <w:color w:val="auto"/>
          <w:sz w:val="32"/>
          <w:szCs w:val="32"/>
        </w:rPr>
        <w:t>智能培训。</w:t>
      </w:r>
      <w:r>
        <w:rPr>
          <w:rFonts w:hint="eastAsia" w:ascii="仿宋_GB2312" w:hAnsi="仿宋_GB2312" w:eastAsia="仿宋_GB2312" w:cs="仿宋_GB2312"/>
          <w:color w:val="auto"/>
          <w:sz w:val="32"/>
          <w:szCs w:val="32"/>
        </w:rPr>
        <w:t>当平台运行一定时间后，平台将用户日常提出的问题进行归类，形成标准解决答案，用户通过查询功能，即可以得到标准解决办法。</w:t>
      </w:r>
    </w:p>
    <w:p>
      <w:pPr>
        <w:keepNext w:val="0"/>
        <w:keepLines w:val="0"/>
        <w:pageBreakBefore w:val="0"/>
        <w:widowControl w:val="0"/>
        <w:kinsoku/>
        <w:wordWrap/>
        <w:overflowPunct/>
        <w:topLinePunct w:val="0"/>
        <w:autoSpaceDE/>
        <w:autoSpaceDN/>
        <w:bidi w:val="0"/>
        <w:adjustRightInd w:val="0"/>
        <w:snapToGrid w:val="0"/>
        <w:spacing w:after="0" w:line="360" w:lineRule="auto"/>
        <w:ind w:firstLine="640" w:firstLineChars="200"/>
        <w:jc w:val="left"/>
        <w:textAlignment w:val="auto"/>
        <w:rPr>
          <w:rFonts w:hint="eastAsia" w:ascii="黑体" w:hAnsi="黑体" w:eastAsia="黑体" w:cs="黑体"/>
          <w:color w:val="auto"/>
          <w:kern w:val="2"/>
          <w:sz w:val="32"/>
          <w:szCs w:val="32"/>
          <w:lang w:eastAsia="zh-CN"/>
        </w:rPr>
      </w:pPr>
      <w:r>
        <w:rPr>
          <w:rFonts w:hint="eastAsia" w:ascii="黑体" w:hAnsi="黑体" w:eastAsia="黑体" w:cs="黑体"/>
          <w:color w:val="auto"/>
          <w:kern w:val="2"/>
          <w:sz w:val="32"/>
          <w:szCs w:val="32"/>
          <w:lang w:eastAsia="zh-CN"/>
        </w:rPr>
        <w:t>十四、其他要求</w:t>
      </w:r>
    </w:p>
    <w:p>
      <w:pPr>
        <w:keepNext w:val="0"/>
        <w:keepLines w:val="0"/>
        <w:pageBreakBefore w:val="0"/>
        <w:widowControl w:val="0"/>
        <w:kinsoku/>
        <w:wordWrap/>
        <w:overflowPunct/>
        <w:topLinePunct w:val="0"/>
        <w:autoSpaceDE/>
        <w:autoSpaceDN/>
        <w:bidi w:val="0"/>
        <w:adjustRightInd w:val="0"/>
        <w:snapToGrid w:val="0"/>
        <w:spacing w:after="0" w:line="360" w:lineRule="auto"/>
        <w:ind w:firstLine="640" w:firstLineChars="200"/>
        <w:jc w:val="left"/>
        <w:textAlignment w:val="auto"/>
        <w:rPr>
          <w:rFonts w:hint="eastAsia" w:ascii="仿宋_GB2312" w:hAnsi="仿宋_GB2312" w:eastAsia="仿宋_GB2312" w:cs="仿宋_GB2312"/>
          <w:color w:val="auto"/>
          <w:kern w:val="2"/>
          <w:sz w:val="32"/>
          <w:szCs w:val="32"/>
          <w:lang w:eastAsia="zh-CN"/>
        </w:rPr>
      </w:pPr>
      <w:r>
        <w:rPr>
          <w:rFonts w:hint="eastAsia" w:ascii="仿宋_GB2312" w:hAnsi="仿宋_GB2312" w:eastAsia="仿宋_GB2312" w:cs="仿宋_GB2312"/>
          <w:color w:val="auto"/>
          <w:kern w:val="2"/>
          <w:sz w:val="32"/>
          <w:szCs w:val="32"/>
          <w:lang w:eastAsia="zh-CN"/>
        </w:rPr>
        <w:t>（一）须符合政务信息系统整合共享工作要求，能与民政部门分散的、独立的信息系统整合为一个互联互通、业务协同的“大系统”。</w:t>
      </w:r>
    </w:p>
    <w:p>
      <w:pPr>
        <w:keepNext w:val="0"/>
        <w:keepLines w:val="0"/>
        <w:pageBreakBefore w:val="0"/>
        <w:widowControl w:val="0"/>
        <w:kinsoku/>
        <w:wordWrap/>
        <w:overflowPunct/>
        <w:topLinePunct w:val="0"/>
        <w:autoSpaceDE/>
        <w:autoSpaceDN/>
        <w:bidi w:val="0"/>
        <w:adjustRightInd w:val="0"/>
        <w:snapToGrid w:val="0"/>
        <w:spacing w:after="0" w:line="360" w:lineRule="auto"/>
        <w:ind w:firstLine="640" w:firstLineChars="200"/>
        <w:jc w:val="left"/>
        <w:textAlignment w:val="auto"/>
        <w:rPr>
          <w:rFonts w:hint="eastAsia" w:ascii="仿宋_GB2312" w:hAnsi="仿宋_GB2312" w:eastAsia="仿宋_GB2312" w:cs="仿宋_GB2312"/>
          <w:color w:val="auto"/>
          <w:kern w:val="2"/>
          <w:sz w:val="32"/>
          <w:szCs w:val="32"/>
          <w:lang w:eastAsia="zh-CN"/>
        </w:rPr>
      </w:pPr>
      <w:r>
        <w:rPr>
          <w:rFonts w:hint="eastAsia" w:ascii="仿宋_GB2312" w:hAnsi="仿宋_GB2312" w:eastAsia="仿宋_GB2312" w:cs="仿宋_GB2312"/>
          <w:color w:val="auto"/>
          <w:kern w:val="2"/>
          <w:sz w:val="32"/>
          <w:szCs w:val="32"/>
          <w:lang w:eastAsia="zh-CN"/>
        </w:rPr>
        <w:t>（二）预留同市级基础平台的数据接口，作为具体行业应用场景，无条件与城市数据中台进行对接，依托市级数据共享交换平台，实现与相关部门间的信息共享。</w:t>
      </w:r>
    </w:p>
    <w:p>
      <w:pPr>
        <w:keepNext w:val="0"/>
        <w:keepLines w:val="0"/>
        <w:pageBreakBefore w:val="0"/>
        <w:widowControl w:val="0"/>
        <w:kinsoku/>
        <w:wordWrap/>
        <w:overflowPunct/>
        <w:topLinePunct w:val="0"/>
        <w:autoSpaceDE/>
        <w:autoSpaceDN/>
        <w:bidi w:val="0"/>
        <w:adjustRightInd w:val="0"/>
        <w:snapToGrid w:val="0"/>
        <w:spacing w:after="0" w:line="360" w:lineRule="auto"/>
        <w:ind w:firstLine="640" w:firstLineChars="200"/>
        <w:jc w:val="both"/>
        <w:textAlignment w:val="auto"/>
        <w:rPr>
          <w:rFonts w:hint="eastAsia" w:ascii="仿宋_GB2312" w:hAnsi="仿宋_GB2312" w:eastAsia="仿宋_GB2312" w:cs="仿宋_GB2312"/>
          <w:bCs/>
          <w:color w:val="auto"/>
          <w:kern w:val="2"/>
          <w:sz w:val="32"/>
          <w:szCs w:val="32"/>
        </w:rPr>
      </w:pPr>
      <w:r>
        <w:rPr>
          <w:rFonts w:hint="eastAsia" w:ascii="仿宋_GB2312" w:hAnsi="仿宋_GB2312" w:eastAsia="仿宋_GB2312" w:cs="仿宋_GB2312"/>
          <w:color w:val="auto"/>
          <w:kern w:val="2"/>
          <w:sz w:val="32"/>
          <w:szCs w:val="32"/>
          <w:lang w:eastAsia="zh-CN"/>
        </w:rPr>
        <w:t>（三）</w:t>
      </w:r>
      <w:r>
        <w:rPr>
          <w:rFonts w:hint="eastAsia" w:ascii="仿宋_GB2312" w:hAnsi="仿宋_GB2312" w:eastAsia="仿宋_GB2312" w:cs="仿宋_GB2312"/>
          <w:bCs/>
          <w:color w:val="auto"/>
          <w:kern w:val="2"/>
          <w:sz w:val="32"/>
          <w:szCs w:val="32"/>
          <w:lang w:eastAsia="zh-CN"/>
        </w:rPr>
        <w:t>须</w:t>
      </w:r>
      <w:r>
        <w:rPr>
          <w:rFonts w:hint="eastAsia" w:ascii="仿宋_GB2312" w:hAnsi="仿宋_GB2312" w:eastAsia="仿宋_GB2312" w:cs="仿宋_GB2312"/>
          <w:bCs/>
          <w:color w:val="auto"/>
          <w:kern w:val="2"/>
          <w:sz w:val="32"/>
          <w:szCs w:val="32"/>
        </w:rPr>
        <w:t>与民政</w:t>
      </w:r>
      <w:r>
        <w:rPr>
          <w:rFonts w:hint="eastAsia" w:ascii="仿宋_GB2312" w:hAnsi="仿宋_GB2312" w:eastAsia="仿宋_GB2312" w:cs="仿宋_GB2312"/>
          <w:bCs/>
          <w:color w:val="auto"/>
          <w:kern w:val="2"/>
          <w:sz w:val="32"/>
          <w:szCs w:val="32"/>
          <w:lang w:eastAsia="zh-CN"/>
        </w:rPr>
        <w:t>系统有关的</w:t>
      </w:r>
      <w:r>
        <w:rPr>
          <w:rFonts w:hint="eastAsia" w:ascii="仿宋_GB2312" w:hAnsi="仿宋_GB2312" w:eastAsia="仿宋_GB2312" w:cs="仿宋_GB2312"/>
          <w:bCs/>
          <w:color w:val="auto"/>
          <w:kern w:val="2"/>
          <w:sz w:val="32"/>
          <w:szCs w:val="32"/>
        </w:rPr>
        <w:t>养老服务数据信息采用接口方式实现实时共享。</w:t>
      </w:r>
    </w:p>
    <w:p>
      <w:pPr>
        <w:keepNext w:val="0"/>
        <w:keepLines w:val="0"/>
        <w:pageBreakBefore w:val="0"/>
        <w:widowControl w:val="0"/>
        <w:kinsoku/>
        <w:wordWrap/>
        <w:overflowPunct/>
        <w:topLinePunct w:val="0"/>
        <w:autoSpaceDE/>
        <w:autoSpaceDN/>
        <w:bidi w:val="0"/>
        <w:adjustRightInd w:val="0"/>
        <w:snapToGrid w:val="0"/>
        <w:spacing w:after="0" w:line="360" w:lineRule="auto"/>
        <w:ind w:firstLine="640" w:firstLineChars="200"/>
        <w:jc w:val="left"/>
        <w:textAlignment w:val="auto"/>
        <w:rPr>
          <w:rFonts w:hint="eastAsia" w:ascii="仿宋_GB2312" w:hAnsi="仿宋_GB2312" w:eastAsia="仿宋_GB2312" w:cs="仿宋_GB2312"/>
          <w:color w:val="auto"/>
          <w:kern w:val="2"/>
          <w:sz w:val="32"/>
          <w:szCs w:val="32"/>
        </w:rPr>
      </w:pPr>
      <w:r>
        <w:rPr>
          <w:rFonts w:hint="eastAsia" w:ascii="仿宋_GB2312" w:hAnsi="仿宋_GB2312" w:eastAsia="仿宋_GB2312" w:cs="仿宋_GB2312"/>
          <w:color w:val="auto"/>
          <w:kern w:val="2"/>
          <w:sz w:val="32"/>
          <w:szCs w:val="32"/>
          <w:lang w:eastAsia="zh-CN"/>
        </w:rPr>
        <w:t>（四）</w:t>
      </w:r>
      <w:r>
        <w:rPr>
          <w:rFonts w:hint="eastAsia" w:ascii="仿宋_GB2312" w:hAnsi="仿宋_GB2312" w:eastAsia="仿宋_GB2312" w:cs="仿宋_GB2312"/>
          <w:bCs/>
          <w:color w:val="auto"/>
          <w:kern w:val="2"/>
          <w:sz w:val="32"/>
          <w:szCs w:val="32"/>
        </w:rPr>
        <w:t>吉林市居家和社区养老服务信息平台</w:t>
      </w:r>
      <w:r>
        <w:rPr>
          <w:rFonts w:hint="eastAsia" w:ascii="仿宋_GB2312" w:hAnsi="仿宋_GB2312" w:eastAsia="仿宋_GB2312" w:cs="仿宋_GB2312"/>
          <w:color w:val="auto"/>
          <w:kern w:val="2"/>
          <w:sz w:val="32"/>
          <w:szCs w:val="32"/>
          <w:lang w:eastAsia="zh-CN"/>
        </w:rPr>
        <w:t>建成并投入使用后，提供2年运维服务、软件升级、新增功能开发等服务，</w:t>
      </w:r>
      <w:r>
        <w:rPr>
          <w:rFonts w:hint="eastAsia" w:ascii="仿宋_GB2312" w:hAnsi="仿宋_GB2312" w:eastAsia="仿宋_GB2312" w:cs="仿宋_GB2312"/>
          <w:color w:val="auto"/>
          <w:kern w:val="2"/>
          <w:sz w:val="32"/>
          <w:szCs w:val="32"/>
        </w:rPr>
        <w:t>合同期结束后民政部门拥有</w:t>
      </w:r>
      <w:r>
        <w:rPr>
          <w:rFonts w:hint="eastAsia" w:ascii="仿宋_GB2312" w:hAnsi="仿宋_GB2312" w:eastAsia="仿宋_GB2312" w:cs="仿宋_GB2312"/>
          <w:color w:val="auto"/>
          <w:kern w:val="2"/>
          <w:sz w:val="32"/>
          <w:szCs w:val="32"/>
          <w:lang w:eastAsia="zh-CN"/>
        </w:rPr>
        <w:t>信息平台</w:t>
      </w:r>
      <w:r>
        <w:rPr>
          <w:rFonts w:hint="eastAsia" w:ascii="仿宋_GB2312" w:hAnsi="仿宋_GB2312" w:eastAsia="仿宋_GB2312" w:cs="仿宋_GB2312"/>
          <w:color w:val="auto"/>
          <w:kern w:val="2"/>
          <w:sz w:val="32"/>
          <w:szCs w:val="32"/>
        </w:rPr>
        <w:t>的永久使用权（提供源代码和注释）。如合同期结束后继续合作，运维费用</w:t>
      </w:r>
      <w:r>
        <w:rPr>
          <w:rFonts w:hint="eastAsia" w:ascii="仿宋_GB2312" w:hAnsi="仿宋_GB2312" w:eastAsia="仿宋_GB2312" w:cs="仿宋_GB2312"/>
          <w:color w:val="auto"/>
          <w:kern w:val="2"/>
          <w:sz w:val="32"/>
          <w:szCs w:val="32"/>
          <w:lang w:eastAsia="zh-CN"/>
        </w:rPr>
        <w:t>原则上</w:t>
      </w:r>
      <w:r>
        <w:rPr>
          <w:rFonts w:hint="eastAsia" w:ascii="仿宋_GB2312" w:hAnsi="仿宋_GB2312" w:eastAsia="仿宋_GB2312" w:cs="仿宋_GB2312"/>
          <w:color w:val="auto"/>
          <w:kern w:val="2"/>
          <w:sz w:val="32"/>
          <w:szCs w:val="32"/>
        </w:rPr>
        <w:t>不超过合同总价10%/年。</w:t>
      </w:r>
    </w:p>
    <w:p>
      <w:pPr>
        <w:keepNext w:val="0"/>
        <w:keepLines w:val="0"/>
        <w:pageBreakBefore w:val="0"/>
        <w:widowControl w:val="0"/>
        <w:kinsoku/>
        <w:wordWrap/>
        <w:overflowPunct/>
        <w:topLinePunct w:val="0"/>
        <w:autoSpaceDE/>
        <w:autoSpaceDN/>
        <w:bidi w:val="0"/>
        <w:adjustRightInd w:val="0"/>
        <w:snapToGrid w:val="0"/>
        <w:spacing w:after="0" w:line="360" w:lineRule="auto"/>
        <w:ind w:firstLine="640" w:firstLineChars="200"/>
        <w:jc w:val="left"/>
        <w:textAlignment w:val="auto"/>
        <w:rPr>
          <w:rFonts w:hint="eastAsia" w:ascii="仿宋_GB2312" w:hAnsi="仿宋_GB2312" w:eastAsia="仿宋_GB2312" w:cs="仿宋_GB2312"/>
          <w:color w:val="auto"/>
          <w:kern w:val="2"/>
          <w:sz w:val="32"/>
          <w:szCs w:val="32"/>
          <w:lang w:eastAsia="zh-CN"/>
        </w:rPr>
      </w:pPr>
      <w:r>
        <w:rPr>
          <w:rFonts w:hint="eastAsia" w:ascii="仿宋_GB2312" w:hAnsi="仿宋_GB2312" w:eastAsia="仿宋_GB2312" w:cs="仿宋_GB2312"/>
          <w:color w:val="auto"/>
          <w:kern w:val="2"/>
          <w:sz w:val="32"/>
          <w:szCs w:val="32"/>
          <w:lang w:eastAsia="zh-CN"/>
        </w:rPr>
        <w:t>（五）本文所列所有服务内容和要求均包含在中标价中，不再另行支付费用。</w:t>
      </w:r>
    </w:p>
    <w:p>
      <w:pPr>
        <w:keepNext w:val="0"/>
        <w:keepLines w:val="0"/>
        <w:pageBreakBefore w:val="0"/>
        <w:widowControl w:val="0"/>
        <w:numPr>
          <w:ilvl w:val="0"/>
          <w:numId w:val="0"/>
        </w:numPr>
        <w:kinsoku/>
        <w:wordWrap/>
        <w:overflowPunct/>
        <w:topLinePunct w:val="0"/>
        <w:autoSpaceDE/>
        <w:autoSpaceDN/>
        <w:bidi w:val="0"/>
        <w:adjustRightInd w:val="0"/>
        <w:snapToGrid w:val="0"/>
        <w:spacing w:after="0" w:line="360" w:lineRule="auto"/>
        <w:ind w:firstLine="640" w:firstLineChars="200"/>
        <w:jc w:val="left"/>
        <w:textAlignment w:val="auto"/>
        <w:rPr>
          <w:rFonts w:hint="eastAsia" w:ascii="黑体" w:hAnsi="黑体" w:eastAsia="黑体" w:cs="黑体"/>
          <w:color w:val="auto"/>
          <w:kern w:val="2"/>
          <w:sz w:val="32"/>
          <w:szCs w:val="32"/>
          <w:lang w:eastAsia="zh-CN"/>
        </w:rPr>
      </w:pPr>
      <w:r>
        <w:rPr>
          <w:rFonts w:hint="eastAsia" w:ascii="黑体" w:hAnsi="黑体" w:eastAsia="黑体" w:cs="黑体"/>
          <w:color w:val="auto"/>
          <w:kern w:val="2"/>
          <w:sz w:val="32"/>
          <w:szCs w:val="32"/>
          <w:lang w:eastAsia="zh-CN"/>
        </w:rPr>
        <w:t>十五、付款方式</w:t>
      </w:r>
    </w:p>
    <w:p>
      <w:pPr>
        <w:keepNext w:val="0"/>
        <w:keepLines w:val="0"/>
        <w:pageBreakBefore w:val="0"/>
        <w:widowControl w:val="0"/>
        <w:numPr>
          <w:ilvl w:val="0"/>
          <w:numId w:val="0"/>
        </w:numPr>
        <w:kinsoku/>
        <w:wordWrap/>
        <w:overflowPunct/>
        <w:topLinePunct w:val="0"/>
        <w:autoSpaceDE/>
        <w:autoSpaceDN/>
        <w:bidi w:val="0"/>
        <w:adjustRightInd w:val="0"/>
        <w:snapToGrid w:val="0"/>
        <w:spacing w:after="0" w:line="360" w:lineRule="auto"/>
        <w:jc w:val="left"/>
        <w:textAlignment w:val="auto"/>
        <w:rPr>
          <w:rFonts w:hint="default" w:ascii="仿宋_GB2312" w:hAnsi="仿宋_GB2312" w:eastAsia="仿宋_GB2312" w:cs="仿宋_GB2312"/>
          <w:color w:val="auto"/>
          <w:kern w:val="2"/>
          <w:sz w:val="32"/>
          <w:szCs w:val="32"/>
          <w:lang w:val="en-US" w:eastAsia="zh-CN"/>
        </w:rPr>
      </w:pPr>
      <w:r>
        <w:rPr>
          <w:rFonts w:hint="eastAsia" w:ascii="仿宋_GB2312" w:hAnsi="仿宋_GB2312" w:eastAsia="仿宋_GB2312" w:cs="仿宋_GB2312"/>
          <w:color w:val="auto"/>
          <w:kern w:val="2"/>
          <w:sz w:val="32"/>
          <w:szCs w:val="32"/>
          <w:lang w:val="en-US" w:eastAsia="zh-CN"/>
        </w:rPr>
        <w:t xml:space="preserve">    </w:t>
      </w:r>
      <w:r>
        <w:rPr>
          <w:rFonts w:hint="eastAsia" w:ascii="仿宋_GB2312" w:hAnsi="仿宋_GB2312" w:eastAsia="仿宋_GB2312" w:cs="仿宋_GB2312"/>
          <w:bCs/>
          <w:color w:val="auto"/>
          <w:kern w:val="2"/>
          <w:sz w:val="32"/>
          <w:szCs w:val="32"/>
        </w:rPr>
        <w:t>吉林市居家和社区养老服务信息平台</w:t>
      </w:r>
      <w:r>
        <w:rPr>
          <w:rFonts w:hint="eastAsia" w:ascii="仿宋_GB2312" w:hAnsi="仿宋_GB2312" w:eastAsia="仿宋_GB2312" w:cs="仿宋_GB2312"/>
          <w:color w:val="auto"/>
          <w:kern w:val="2"/>
          <w:sz w:val="32"/>
          <w:szCs w:val="32"/>
          <w:lang w:val="en-US" w:eastAsia="zh-CN"/>
        </w:rPr>
        <w:t>按合同规定建成并投入使用后，由市民政局向财政部门申请，待财政拨款到位后，支付合同总价</w:t>
      </w:r>
      <w:r>
        <w:rPr>
          <w:rFonts w:hint="eastAsia" w:ascii="仿宋_GB2312" w:hAnsi="仿宋_GB2312" w:eastAsia="仿宋_GB2312" w:cs="仿宋_GB2312"/>
          <w:b w:val="0"/>
          <w:bCs w:val="0"/>
          <w:color w:val="auto"/>
          <w:kern w:val="2"/>
          <w:sz w:val="32"/>
          <w:szCs w:val="32"/>
          <w:lang w:val="en-US" w:eastAsia="zh-CN"/>
        </w:rPr>
        <w:t>40%</w:t>
      </w:r>
      <w:r>
        <w:rPr>
          <w:rFonts w:hint="eastAsia" w:ascii="仿宋_GB2312" w:hAnsi="仿宋_GB2312" w:eastAsia="仿宋_GB2312" w:cs="仿宋_GB2312"/>
          <w:color w:val="auto"/>
          <w:kern w:val="2"/>
          <w:sz w:val="32"/>
          <w:szCs w:val="32"/>
          <w:lang w:val="en-US" w:eastAsia="zh-CN"/>
        </w:rPr>
        <w:t>费用；平台建成并投入使用后，运维服务满1年，支付30%费用；运维服务满2年，合同期结束后支付剩余30%费用。</w:t>
      </w:r>
    </w:p>
    <w:p>
      <w:pPr>
        <w:keepNext w:val="0"/>
        <w:keepLines w:val="0"/>
        <w:pageBreakBefore w:val="0"/>
        <w:kinsoku/>
        <w:wordWrap/>
        <w:overflowPunct/>
        <w:topLinePunct w:val="0"/>
        <w:autoSpaceDE/>
        <w:autoSpaceDN/>
        <w:bidi w:val="0"/>
        <w:adjustRightInd w:val="0"/>
        <w:snapToGrid w:val="0"/>
        <w:spacing w:line="360" w:lineRule="auto"/>
        <w:ind w:firstLine="640"/>
        <w:jc w:val="both"/>
        <w:textAlignment w:val="auto"/>
        <w:rPr>
          <w:rFonts w:hint="eastAsia" w:ascii="仿宋_GB2312" w:hAnsi="仿宋_GB2312" w:eastAsia="仿宋_GB2312" w:cs="仿宋_GB2312"/>
          <w:color w:val="auto"/>
          <w:sz w:val="32"/>
          <w:szCs w:val="32"/>
        </w:rPr>
      </w:pPr>
      <w:bookmarkStart w:id="132" w:name="_GoBack"/>
      <w:bookmarkEnd w:id="132"/>
    </w:p>
    <w:p>
      <w:pPr>
        <w:keepNext w:val="0"/>
        <w:keepLines w:val="0"/>
        <w:pageBreakBefore w:val="0"/>
        <w:kinsoku/>
        <w:wordWrap/>
        <w:overflowPunct/>
        <w:topLinePunct w:val="0"/>
        <w:autoSpaceDE/>
        <w:autoSpaceDN/>
        <w:bidi w:val="0"/>
        <w:adjustRightInd w:val="0"/>
        <w:snapToGrid w:val="0"/>
        <w:spacing w:line="360" w:lineRule="auto"/>
        <w:jc w:val="both"/>
        <w:textAlignment w:val="auto"/>
        <w:rPr>
          <w:rFonts w:hint="eastAsia" w:ascii="仿宋_GB2312" w:hAnsi="仿宋_GB2312" w:eastAsia="仿宋_GB2312" w:cs="仿宋_GB2312"/>
          <w:color w:val="auto"/>
          <w:sz w:val="32"/>
          <w:szCs w:val="32"/>
        </w:rPr>
      </w:pPr>
    </w:p>
    <w:p>
      <w:pPr>
        <w:keepNext w:val="0"/>
        <w:keepLines w:val="0"/>
        <w:pageBreakBefore w:val="0"/>
        <w:kinsoku/>
        <w:wordWrap/>
        <w:overflowPunct/>
        <w:topLinePunct w:val="0"/>
        <w:autoSpaceDE/>
        <w:autoSpaceDN/>
        <w:bidi w:val="0"/>
        <w:adjustRightInd w:val="0"/>
        <w:snapToGrid w:val="0"/>
        <w:spacing w:line="360" w:lineRule="auto"/>
        <w:jc w:val="both"/>
        <w:textAlignment w:val="auto"/>
        <w:rPr>
          <w:rFonts w:hint="eastAsia" w:ascii="仿宋_GB2312" w:hAnsi="仿宋_GB2312" w:eastAsia="仿宋_GB2312" w:cs="仿宋_GB2312"/>
          <w:color w:val="auto"/>
          <w:sz w:val="32"/>
          <w:szCs w:val="32"/>
        </w:rPr>
      </w:pPr>
    </w:p>
    <w:p>
      <w:pPr>
        <w:keepNext w:val="0"/>
        <w:keepLines w:val="0"/>
        <w:pageBreakBefore w:val="0"/>
        <w:widowControl/>
        <w:kinsoku/>
        <w:wordWrap/>
        <w:overflowPunct/>
        <w:topLinePunct w:val="0"/>
        <w:autoSpaceDE/>
        <w:autoSpaceDN/>
        <w:bidi w:val="0"/>
        <w:adjustRightInd w:val="0"/>
        <w:snapToGrid w:val="0"/>
        <w:spacing w:after="0" w:line="360" w:lineRule="auto"/>
        <w:ind w:firstLine="1568" w:firstLineChars="49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吉林市民政局</w:t>
      </w:r>
    </w:p>
    <w:p>
      <w:pPr>
        <w:keepNext w:val="0"/>
        <w:keepLines w:val="0"/>
        <w:pageBreakBefore w:val="0"/>
        <w:kinsoku/>
        <w:wordWrap/>
        <w:overflowPunct/>
        <w:topLinePunct w:val="0"/>
        <w:autoSpaceDE/>
        <w:autoSpaceDN/>
        <w:bidi w:val="0"/>
        <w:adjustRightInd w:val="0"/>
        <w:snapToGrid w:val="0"/>
        <w:spacing w:line="360" w:lineRule="auto"/>
        <w:ind w:firstLine="640" w:firstLineChars="200"/>
        <w:jc w:val="both"/>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2022年10月29日</w:t>
      </w:r>
    </w:p>
    <w:p>
      <w:pPr>
        <w:spacing w:line="360" w:lineRule="auto"/>
        <w:ind w:firstLine="640"/>
        <w:jc w:val="both"/>
        <w:rPr>
          <w:rFonts w:hint="default" w:ascii="仿宋_GB2312" w:hAnsi="仿宋_GB2312" w:eastAsia="仿宋_GB2312" w:cs="仿宋_GB2312"/>
          <w:sz w:val="32"/>
          <w:szCs w:val="32"/>
          <w:lang w:val="en-US" w:eastAsia="zh-CN"/>
        </w:rPr>
      </w:pPr>
    </w:p>
    <w:sectPr>
      <w:headerReference r:id="rId3" w:type="default"/>
      <w:footerReference r:id="rId4" w:type="default"/>
      <w:pgSz w:w="11906" w:h="16838"/>
      <w:pgMar w:top="1440" w:right="1797" w:bottom="1440" w:left="1797" w:header="708" w:footer="708"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Tahoma">
    <w:altName w:val="Droid Sans"/>
    <w:panose1 w:val="020B0604030504040204"/>
    <w:charset w:val="00"/>
    <w:family w:val="swiss"/>
    <w:pitch w:val="default"/>
    <w:sig w:usb0="00000000" w:usb1="00000000" w:usb2="00000029" w:usb3="00000000" w:csb0="200101FF" w:csb1="20280000"/>
  </w:font>
  <w:font w:name="微软雅黑">
    <w:altName w:val="黑体"/>
    <w:panose1 w:val="020B0503020204020204"/>
    <w:charset w:val="86"/>
    <w:family w:val="swiss"/>
    <w:pitch w:val="default"/>
    <w:sig w:usb0="00000000" w:usb1="00000000" w:usb2="00000016" w:usb3="00000000" w:csb0="0004001F" w:csb1="00000000"/>
  </w:font>
  <w:font w:name="Cambria">
    <w:altName w:val="FreeSerif"/>
    <w:panose1 w:val="02040503050406030204"/>
    <w:charset w:val="00"/>
    <w:family w:val="roman"/>
    <w:pitch w:val="default"/>
    <w:sig w:usb0="00000000" w:usb1="00000000" w:usb2="00000000" w:usb3="00000000" w:csb0="2000019F"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方正小标宋简体">
    <w:panose1 w:val="02000000000000000000"/>
    <w:charset w:val="86"/>
    <w:family w:val="script"/>
    <w:pitch w:val="default"/>
    <w:sig w:usb0="A00002BF" w:usb1="184F6CFA" w:usb2="00000012" w:usb3="00000000" w:csb0="00040001" w:csb1="00000000"/>
  </w:font>
  <w:font w:name="楷体">
    <w:panose1 w:val="02010609060101010101"/>
    <w:charset w:val="86"/>
    <w:family w:val="auto"/>
    <w:pitch w:val="default"/>
    <w:sig w:usb0="800002BF" w:usb1="38CF7CFA"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roid Sans">
    <w:panose1 w:val="020B0606030804020204"/>
    <w:charset w:val="00"/>
    <w:family w:val="auto"/>
    <w:pitch w:val="default"/>
    <w:sig w:usb0="E00002EF" w:usb1="4000205B" w:usb2="00000028" w:usb3="00000000" w:csb0="2000019F" w:csb1="00000000"/>
  </w:font>
  <w:font w:name="DejaVu Sans">
    <w:panose1 w:val="020B0603030804020204"/>
    <w:charset w:val="00"/>
    <w:family w:val="auto"/>
    <w:pitch w:val="default"/>
    <w:sig w:usb0="E7006EFF" w:usb1="D200FDFF" w:usb2="0A246029" w:usb3="0400200C" w:csb0="600001FF" w:csb1="DFFF0000"/>
  </w:font>
  <w:font w:name="Liberation Serif">
    <w:panose1 w:val="02020603050405020304"/>
    <w:charset w:val="00"/>
    <w:family w:val="auto"/>
    <w:pitch w:val="default"/>
    <w:sig w:usb0="A00002AF" w:usb1="500078FB" w:usb2="00000000" w:usb3="00000000" w:csb0="6000009F" w:csb1="DFD70000"/>
  </w:font>
  <w:font w:name="FreeSerif">
    <w:panose1 w:val="02020603050405020304"/>
    <w:charset w:val="00"/>
    <w:family w:val="auto"/>
    <w:pitch w:val="default"/>
    <w:sig w:usb0="E59FAFFF" w:usb1="C200FDFF" w:usb2="43501B29" w:usb3="04000043" w:csb0="600101FF" w:csb1="FFFF0000"/>
  </w:font>
  <w:font w:name="Nimbus Roman No9 L">
    <w:panose1 w:val="00000000000000000000"/>
    <w:charset w:val="00"/>
    <w:family w:val="auto"/>
    <w:pitch w:val="default"/>
    <w:sig w:usb0="00000000" w:usb1="00000000" w:usb2="00000000" w:usb3="00000000" w:csb0="00000000" w:csb1="00000000"/>
  </w:font>
  <w:font w:name="方正宋体S-超大字符集">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779649316"/>
    </w:sdtPr>
    <w:sdtContent>
      <w:p>
        <w:pPr>
          <w:pStyle w:val="18"/>
          <w:jc w:val="center"/>
        </w:pPr>
        <w:r>
          <w:fldChar w:fldCharType="begin"/>
        </w:r>
        <w:r>
          <w:instrText xml:space="preserve">PAGE   \* MERGEFORMAT</w:instrText>
        </w:r>
        <w:r>
          <w:fldChar w:fldCharType="separate"/>
        </w:r>
        <w:r>
          <w:rPr>
            <w:lang w:val="zh-CN"/>
          </w:rPr>
          <w:t>37</w:t>
        </w:r>
        <w:r>
          <w:fldChar w:fldCharType="end"/>
        </w:r>
      </w:p>
    </w:sdtContent>
  </w:sdt>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pBdr>
        <w:bottom w:val="none" w:color="auto" w:sz="0" w:space="0"/>
      </w:pBdr>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AFF94FC"/>
    <w:multiLevelType w:val="singleLevel"/>
    <w:tmpl w:val="EAFF94FC"/>
    <w:lvl w:ilvl="0" w:tentative="0">
      <w:start w:val="6"/>
      <w:numFmt w:val="chineseCounting"/>
      <w:suff w:val="nothing"/>
      <w:lvlText w:val="%1、"/>
      <w:lvlJc w:val="left"/>
      <w:pPr>
        <w:ind w:left="640" w:leftChars="0" w:firstLine="0" w:firstLineChars="0"/>
      </w:pPr>
      <w:rPr>
        <w:rFonts w:hint="eastAsia"/>
      </w:rPr>
    </w:lvl>
  </w:abstractNum>
  <w:abstractNum w:abstractNumId="1">
    <w:nsid w:val="F79F2E6B"/>
    <w:multiLevelType w:val="singleLevel"/>
    <w:tmpl w:val="F79F2E6B"/>
    <w:lvl w:ilvl="0" w:tentative="0">
      <w:start w:val="5"/>
      <w:numFmt w:val="chineseCounting"/>
      <w:suff w:val="nothing"/>
      <w:lvlText w:val="%1、"/>
      <w:lvlJc w:val="left"/>
      <w:rPr>
        <w:rFonts w:hint="eastAsia"/>
      </w:rPr>
    </w:lvl>
  </w:abstractNum>
  <w:abstractNum w:abstractNumId="2">
    <w:nsid w:val="FFFEC3D8"/>
    <w:multiLevelType w:val="singleLevel"/>
    <w:tmpl w:val="FFFEC3D8"/>
    <w:lvl w:ilvl="0" w:tentative="0">
      <w:start w:val="10"/>
      <w:numFmt w:val="chineseCounting"/>
      <w:suff w:val="nothing"/>
      <w:lvlText w:val="%1、"/>
      <w:lvlJc w:val="left"/>
      <w:rPr>
        <w:rFonts w:hint="eastAsia"/>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true"/>
  <w:bordersDoNotSurroundFooter w:val="true"/>
  <w:documentProtection w:enforcement="0"/>
  <w:defaultTabStop w:val="720"/>
  <w:drawingGridHorizontalSpacing w:val="110"/>
  <w:drawingGridVerticalSpacing w:val="156"/>
  <w:noPunctuationKerning w:val="true"/>
  <w:characterSpacingControl w:val="doNotCompress"/>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31D50"/>
    <w:rsid w:val="000078A3"/>
    <w:rsid w:val="00013BBE"/>
    <w:rsid w:val="00014AFB"/>
    <w:rsid w:val="00021579"/>
    <w:rsid w:val="00030744"/>
    <w:rsid w:val="000323F2"/>
    <w:rsid w:val="000437D1"/>
    <w:rsid w:val="00053589"/>
    <w:rsid w:val="00053B7D"/>
    <w:rsid w:val="00065E66"/>
    <w:rsid w:val="000715DE"/>
    <w:rsid w:val="0007424D"/>
    <w:rsid w:val="000773AD"/>
    <w:rsid w:val="00087257"/>
    <w:rsid w:val="00096F96"/>
    <w:rsid w:val="000A10F9"/>
    <w:rsid w:val="000B2981"/>
    <w:rsid w:val="000B59FF"/>
    <w:rsid w:val="000B5D23"/>
    <w:rsid w:val="000C29B2"/>
    <w:rsid w:val="000D16B0"/>
    <w:rsid w:val="000D239F"/>
    <w:rsid w:val="000E1E77"/>
    <w:rsid w:val="00101621"/>
    <w:rsid w:val="001023D4"/>
    <w:rsid w:val="001030A3"/>
    <w:rsid w:val="00107D9C"/>
    <w:rsid w:val="001102E8"/>
    <w:rsid w:val="00111EEC"/>
    <w:rsid w:val="00114BF3"/>
    <w:rsid w:val="0011648C"/>
    <w:rsid w:val="00117182"/>
    <w:rsid w:val="00121EC5"/>
    <w:rsid w:val="00124CBC"/>
    <w:rsid w:val="00127AAC"/>
    <w:rsid w:val="00141012"/>
    <w:rsid w:val="00146D82"/>
    <w:rsid w:val="0014729B"/>
    <w:rsid w:val="00153C66"/>
    <w:rsid w:val="0015532C"/>
    <w:rsid w:val="0015532F"/>
    <w:rsid w:val="00166DA4"/>
    <w:rsid w:val="001762D7"/>
    <w:rsid w:val="00182900"/>
    <w:rsid w:val="00185AEC"/>
    <w:rsid w:val="00186244"/>
    <w:rsid w:val="00186AE5"/>
    <w:rsid w:val="00191D50"/>
    <w:rsid w:val="001A1D00"/>
    <w:rsid w:val="001A3684"/>
    <w:rsid w:val="001A427F"/>
    <w:rsid w:val="001B4D52"/>
    <w:rsid w:val="001B71BB"/>
    <w:rsid w:val="001C290C"/>
    <w:rsid w:val="001C37F1"/>
    <w:rsid w:val="001C3AFD"/>
    <w:rsid w:val="001D14FB"/>
    <w:rsid w:val="001D2FC8"/>
    <w:rsid w:val="001D4C8F"/>
    <w:rsid w:val="001D5D7D"/>
    <w:rsid w:val="001D6F37"/>
    <w:rsid w:val="001E005A"/>
    <w:rsid w:val="001E343E"/>
    <w:rsid w:val="001E3458"/>
    <w:rsid w:val="001E7A72"/>
    <w:rsid w:val="001F132C"/>
    <w:rsid w:val="00201CF8"/>
    <w:rsid w:val="002040A8"/>
    <w:rsid w:val="002060FE"/>
    <w:rsid w:val="002077EA"/>
    <w:rsid w:val="00213511"/>
    <w:rsid w:val="00214F6F"/>
    <w:rsid w:val="00215C35"/>
    <w:rsid w:val="00216156"/>
    <w:rsid w:val="00217EB5"/>
    <w:rsid w:val="00226AB7"/>
    <w:rsid w:val="00240E46"/>
    <w:rsid w:val="00245F4F"/>
    <w:rsid w:val="00251C3B"/>
    <w:rsid w:val="00251F71"/>
    <w:rsid w:val="002523E6"/>
    <w:rsid w:val="002533D6"/>
    <w:rsid w:val="00254821"/>
    <w:rsid w:val="0025495B"/>
    <w:rsid w:val="00266803"/>
    <w:rsid w:val="00267EF6"/>
    <w:rsid w:val="002738CE"/>
    <w:rsid w:val="002754F6"/>
    <w:rsid w:val="00275E49"/>
    <w:rsid w:val="00277149"/>
    <w:rsid w:val="00291792"/>
    <w:rsid w:val="00297ED1"/>
    <w:rsid w:val="002C37ED"/>
    <w:rsid w:val="002D0E82"/>
    <w:rsid w:val="002E1E4C"/>
    <w:rsid w:val="002E6804"/>
    <w:rsid w:val="002E6879"/>
    <w:rsid w:val="00300785"/>
    <w:rsid w:val="00302F8E"/>
    <w:rsid w:val="00311A86"/>
    <w:rsid w:val="00321A6A"/>
    <w:rsid w:val="00323B43"/>
    <w:rsid w:val="00326C8F"/>
    <w:rsid w:val="00326EDD"/>
    <w:rsid w:val="00336C78"/>
    <w:rsid w:val="00345500"/>
    <w:rsid w:val="00352714"/>
    <w:rsid w:val="00373417"/>
    <w:rsid w:val="00386495"/>
    <w:rsid w:val="00394B40"/>
    <w:rsid w:val="003A282D"/>
    <w:rsid w:val="003A56A8"/>
    <w:rsid w:val="003A7C7F"/>
    <w:rsid w:val="003A7FA3"/>
    <w:rsid w:val="003B55E3"/>
    <w:rsid w:val="003D285C"/>
    <w:rsid w:val="003D33C4"/>
    <w:rsid w:val="003D37D8"/>
    <w:rsid w:val="003D7649"/>
    <w:rsid w:val="003F10C5"/>
    <w:rsid w:val="00403093"/>
    <w:rsid w:val="00416831"/>
    <w:rsid w:val="00424579"/>
    <w:rsid w:val="00426133"/>
    <w:rsid w:val="00427404"/>
    <w:rsid w:val="0042740F"/>
    <w:rsid w:val="004358AB"/>
    <w:rsid w:val="00437FA6"/>
    <w:rsid w:val="00447D54"/>
    <w:rsid w:val="00453028"/>
    <w:rsid w:val="00460C47"/>
    <w:rsid w:val="00460EF6"/>
    <w:rsid w:val="0046243C"/>
    <w:rsid w:val="00464BEC"/>
    <w:rsid w:val="00466E4A"/>
    <w:rsid w:val="00467416"/>
    <w:rsid w:val="00472BDB"/>
    <w:rsid w:val="00476B5C"/>
    <w:rsid w:val="00477177"/>
    <w:rsid w:val="00481383"/>
    <w:rsid w:val="0048325A"/>
    <w:rsid w:val="00483D66"/>
    <w:rsid w:val="00485E51"/>
    <w:rsid w:val="004919A1"/>
    <w:rsid w:val="004A36F4"/>
    <w:rsid w:val="004B2EA0"/>
    <w:rsid w:val="004B3397"/>
    <w:rsid w:val="004B68BB"/>
    <w:rsid w:val="004C237C"/>
    <w:rsid w:val="004C2943"/>
    <w:rsid w:val="004D0E21"/>
    <w:rsid w:val="004D1D90"/>
    <w:rsid w:val="004D570F"/>
    <w:rsid w:val="004D7ACF"/>
    <w:rsid w:val="004D7D0C"/>
    <w:rsid w:val="004F3391"/>
    <w:rsid w:val="004F69C4"/>
    <w:rsid w:val="005022BA"/>
    <w:rsid w:val="00507D89"/>
    <w:rsid w:val="0051749E"/>
    <w:rsid w:val="00525141"/>
    <w:rsid w:val="00527AB7"/>
    <w:rsid w:val="00533ABB"/>
    <w:rsid w:val="00537FC3"/>
    <w:rsid w:val="005413BC"/>
    <w:rsid w:val="00542314"/>
    <w:rsid w:val="00545FFF"/>
    <w:rsid w:val="0055486E"/>
    <w:rsid w:val="00554C06"/>
    <w:rsid w:val="00557B4A"/>
    <w:rsid w:val="00564805"/>
    <w:rsid w:val="0056550F"/>
    <w:rsid w:val="00571B39"/>
    <w:rsid w:val="00584903"/>
    <w:rsid w:val="00586A6B"/>
    <w:rsid w:val="005903E7"/>
    <w:rsid w:val="00590A5D"/>
    <w:rsid w:val="00591EC1"/>
    <w:rsid w:val="00592D1C"/>
    <w:rsid w:val="005D46C9"/>
    <w:rsid w:val="005D66D9"/>
    <w:rsid w:val="005E00E0"/>
    <w:rsid w:val="005E14A8"/>
    <w:rsid w:val="005E2035"/>
    <w:rsid w:val="005E3206"/>
    <w:rsid w:val="005E32D1"/>
    <w:rsid w:val="00604E55"/>
    <w:rsid w:val="006371A8"/>
    <w:rsid w:val="006375B5"/>
    <w:rsid w:val="0064673C"/>
    <w:rsid w:val="00647079"/>
    <w:rsid w:val="00650E24"/>
    <w:rsid w:val="006565FC"/>
    <w:rsid w:val="00665C7F"/>
    <w:rsid w:val="0067205F"/>
    <w:rsid w:val="006726D9"/>
    <w:rsid w:val="006775A6"/>
    <w:rsid w:val="00677735"/>
    <w:rsid w:val="00693CF0"/>
    <w:rsid w:val="00696C1F"/>
    <w:rsid w:val="006A1C57"/>
    <w:rsid w:val="006A75CE"/>
    <w:rsid w:val="006B063E"/>
    <w:rsid w:val="006B261D"/>
    <w:rsid w:val="006B3D3D"/>
    <w:rsid w:val="006C01C3"/>
    <w:rsid w:val="006C1ABD"/>
    <w:rsid w:val="006C6035"/>
    <w:rsid w:val="006C61D5"/>
    <w:rsid w:val="006C741A"/>
    <w:rsid w:val="006D2CB6"/>
    <w:rsid w:val="006F0351"/>
    <w:rsid w:val="006F3580"/>
    <w:rsid w:val="006F5D0D"/>
    <w:rsid w:val="00702E43"/>
    <w:rsid w:val="00702F21"/>
    <w:rsid w:val="00707A94"/>
    <w:rsid w:val="00713588"/>
    <w:rsid w:val="007216E1"/>
    <w:rsid w:val="00727FBA"/>
    <w:rsid w:val="00734739"/>
    <w:rsid w:val="00736E92"/>
    <w:rsid w:val="007408A7"/>
    <w:rsid w:val="00741943"/>
    <w:rsid w:val="007427F1"/>
    <w:rsid w:val="0074338C"/>
    <w:rsid w:val="00744458"/>
    <w:rsid w:val="00744A83"/>
    <w:rsid w:val="00746070"/>
    <w:rsid w:val="007630E9"/>
    <w:rsid w:val="007674E2"/>
    <w:rsid w:val="007717F7"/>
    <w:rsid w:val="00774E90"/>
    <w:rsid w:val="00774F2B"/>
    <w:rsid w:val="00775301"/>
    <w:rsid w:val="007824D0"/>
    <w:rsid w:val="00790937"/>
    <w:rsid w:val="007921D9"/>
    <w:rsid w:val="007963B4"/>
    <w:rsid w:val="0079710B"/>
    <w:rsid w:val="007A727C"/>
    <w:rsid w:val="007C39CF"/>
    <w:rsid w:val="007C79BE"/>
    <w:rsid w:val="007D6496"/>
    <w:rsid w:val="007E35F7"/>
    <w:rsid w:val="007E3C7B"/>
    <w:rsid w:val="007E4EAE"/>
    <w:rsid w:val="007E6A41"/>
    <w:rsid w:val="007F0333"/>
    <w:rsid w:val="007F53CE"/>
    <w:rsid w:val="008000EA"/>
    <w:rsid w:val="00804B0A"/>
    <w:rsid w:val="00806526"/>
    <w:rsid w:val="008065D6"/>
    <w:rsid w:val="00813CD0"/>
    <w:rsid w:val="008154A5"/>
    <w:rsid w:val="00820A20"/>
    <w:rsid w:val="00823498"/>
    <w:rsid w:val="00823A3F"/>
    <w:rsid w:val="0083020A"/>
    <w:rsid w:val="00830F5A"/>
    <w:rsid w:val="0083668E"/>
    <w:rsid w:val="008425D4"/>
    <w:rsid w:val="008430B5"/>
    <w:rsid w:val="008437F4"/>
    <w:rsid w:val="00885288"/>
    <w:rsid w:val="00890321"/>
    <w:rsid w:val="00897056"/>
    <w:rsid w:val="008A177A"/>
    <w:rsid w:val="008A211A"/>
    <w:rsid w:val="008A44EB"/>
    <w:rsid w:val="008A7A5D"/>
    <w:rsid w:val="008B075D"/>
    <w:rsid w:val="008B5AEA"/>
    <w:rsid w:val="008B7726"/>
    <w:rsid w:val="008C0EA7"/>
    <w:rsid w:val="008C2623"/>
    <w:rsid w:val="008C2B97"/>
    <w:rsid w:val="008C626E"/>
    <w:rsid w:val="008C6D59"/>
    <w:rsid w:val="008F07A1"/>
    <w:rsid w:val="00902522"/>
    <w:rsid w:val="00902D4E"/>
    <w:rsid w:val="00907BB8"/>
    <w:rsid w:val="00914AE2"/>
    <w:rsid w:val="00917D48"/>
    <w:rsid w:val="009206C3"/>
    <w:rsid w:val="0092536B"/>
    <w:rsid w:val="0093320A"/>
    <w:rsid w:val="009406B4"/>
    <w:rsid w:val="00942D30"/>
    <w:rsid w:val="00945E31"/>
    <w:rsid w:val="00946DD3"/>
    <w:rsid w:val="009505DB"/>
    <w:rsid w:val="00950876"/>
    <w:rsid w:val="00956F2F"/>
    <w:rsid w:val="00963090"/>
    <w:rsid w:val="009773FC"/>
    <w:rsid w:val="00977DBF"/>
    <w:rsid w:val="00983780"/>
    <w:rsid w:val="00984F78"/>
    <w:rsid w:val="00987EE4"/>
    <w:rsid w:val="009977DE"/>
    <w:rsid w:val="009A6503"/>
    <w:rsid w:val="009A67DB"/>
    <w:rsid w:val="009C6F5D"/>
    <w:rsid w:val="009C7220"/>
    <w:rsid w:val="009C7494"/>
    <w:rsid w:val="009D3C68"/>
    <w:rsid w:val="009E2B69"/>
    <w:rsid w:val="009E5A9B"/>
    <w:rsid w:val="009E71F8"/>
    <w:rsid w:val="009F6965"/>
    <w:rsid w:val="00A02516"/>
    <w:rsid w:val="00A04B7F"/>
    <w:rsid w:val="00A04C82"/>
    <w:rsid w:val="00A10872"/>
    <w:rsid w:val="00A14252"/>
    <w:rsid w:val="00A22C6B"/>
    <w:rsid w:val="00A22EF9"/>
    <w:rsid w:val="00A23ED2"/>
    <w:rsid w:val="00A25EDD"/>
    <w:rsid w:val="00A263FB"/>
    <w:rsid w:val="00A267C2"/>
    <w:rsid w:val="00A27911"/>
    <w:rsid w:val="00A46E5E"/>
    <w:rsid w:val="00A505DD"/>
    <w:rsid w:val="00A53D3D"/>
    <w:rsid w:val="00A549FF"/>
    <w:rsid w:val="00A65A98"/>
    <w:rsid w:val="00A72851"/>
    <w:rsid w:val="00A72ABA"/>
    <w:rsid w:val="00A80C2A"/>
    <w:rsid w:val="00A82A98"/>
    <w:rsid w:val="00A91FE8"/>
    <w:rsid w:val="00A921F0"/>
    <w:rsid w:val="00A96E24"/>
    <w:rsid w:val="00AB611D"/>
    <w:rsid w:val="00AC2441"/>
    <w:rsid w:val="00AC3354"/>
    <w:rsid w:val="00AD37EE"/>
    <w:rsid w:val="00AD5C09"/>
    <w:rsid w:val="00AE3CFC"/>
    <w:rsid w:val="00AF108C"/>
    <w:rsid w:val="00AF27BC"/>
    <w:rsid w:val="00B03883"/>
    <w:rsid w:val="00B03DA6"/>
    <w:rsid w:val="00B115F0"/>
    <w:rsid w:val="00B1313A"/>
    <w:rsid w:val="00B14E23"/>
    <w:rsid w:val="00B2047B"/>
    <w:rsid w:val="00B31CAC"/>
    <w:rsid w:val="00B3479F"/>
    <w:rsid w:val="00B356E2"/>
    <w:rsid w:val="00B37005"/>
    <w:rsid w:val="00B44C7E"/>
    <w:rsid w:val="00B4687D"/>
    <w:rsid w:val="00B72CAA"/>
    <w:rsid w:val="00B821B0"/>
    <w:rsid w:val="00B8248E"/>
    <w:rsid w:val="00B84195"/>
    <w:rsid w:val="00B84277"/>
    <w:rsid w:val="00B87E9A"/>
    <w:rsid w:val="00B9565C"/>
    <w:rsid w:val="00BA0CBB"/>
    <w:rsid w:val="00BA1498"/>
    <w:rsid w:val="00BA783A"/>
    <w:rsid w:val="00BA7B85"/>
    <w:rsid w:val="00BA7E7D"/>
    <w:rsid w:val="00BA7F44"/>
    <w:rsid w:val="00BB0CC2"/>
    <w:rsid w:val="00BD2204"/>
    <w:rsid w:val="00BD32EC"/>
    <w:rsid w:val="00BD35D2"/>
    <w:rsid w:val="00BE6D6F"/>
    <w:rsid w:val="00C04FC2"/>
    <w:rsid w:val="00C26BFE"/>
    <w:rsid w:val="00C37303"/>
    <w:rsid w:val="00C46306"/>
    <w:rsid w:val="00C542F0"/>
    <w:rsid w:val="00C575DD"/>
    <w:rsid w:val="00C62D5D"/>
    <w:rsid w:val="00C679A8"/>
    <w:rsid w:val="00C751D8"/>
    <w:rsid w:val="00C81C74"/>
    <w:rsid w:val="00C826F4"/>
    <w:rsid w:val="00C90695"/>
    <w:rsid w:val="00C9300C"/>
    <w:rsid w:val="00CA1BEE"/>
    <w:rsid w:val="00CA3475"/>
    <w:rsid w:val="00CA40C1"/>
    <w:rsid w:val="00CA55DF"/>
    <w:rsid w:val="00CA6ED4"/>
    <w:rsid w:val="00CA7D90"/>
    <w:rsid w:val="00CB25F0"/>
    <w:rsid w:val="00CB4346"/>
    <w:rsid w:val="00CC4971"/>
    <w:rsid w:val="00CC5A5C"/>
    <w:rsid w:val="00CC5E1F"/>
    <w:rsid w:val="00CD125C"/>
    <w:rsid w:val="00CD23C6"/>
    <w:rsid w:val="00CF7815"/>
    <w:rsid w:val="00D058F7"/>
    <w:rsid w:val="00D06472"/>
    <w:rsid w:val="00D06718"/>
    <w:rsid w:val="00D12D05"/>
    <w:rsid w:val="00D1670F"/>
    <w:rsid w:val="00D16D8E"/>
    <w:rsid w:val="00D2021A"/>
    <w:rsid w:val="00D21FD6"/>
    <w:rsid w:val="00D220BE"/>
    <w:rsid w:val="00D25EBC"/>
    <w:rsid w:val="00D31D50"/>
    <w:rsid w:val="00D32835"/>
    <w:rsid w:val="00D34E73"/>
    <w:rsid w:val="00D4431D"/>
    <w:rsid w:val="00D53E8F"/>
    <w:rsid w:val="00D552F0"/>
    <w:rsid w:val="00D61365"/>
    <w:rsid w:val="00D62047"/>
    <w:rsid w:val="00D670C0"/>
    <w:rsid w:val="00D70A40"/>
    <w:rsid w:val="00D731E5"/>
    <w:rsid w:val="00D75E7C"/>
    <w:rsid w:val="00D83B1E"/>
    <w:rsid w:val="00D83F6C"/>
    <w:rsid w:val="00D92B13"/>
    <w:rsid w:val="00D9327B"/>
    <w:rsid w:val="00DA11B2"/>
    <w:rsid w:val="00DA4A04"/>
    <w:rsid w:val="00DB7E35"/>
    <w:rsid w:val="00DC50ED"/>
    <w:rsid w:val="00DD19A0"/>
    <w:rsid w:val="00DE4B41"/>
    <w:rsid w:val="00DE54E1"/>
    <w:rsid w:val="00DE6B1B"/>
    <w:rsid w:val="00DF4D36"/>
    <w:rsid w:val="00E13380"/>
    <w:rsid w:val="00E24133"/>
    <w:rsid w:val="00E277AE"/>
    <w:rsid w:val="00E3023F"/>
    <w:rsid w:val="00E34FE4"/>
    <w:rsid w:val="00E43995"/>
    <w:rsid w:val="00E56C42"/>
    <w:rsid w:val="00E630D7"/>
    <w:rsid w:val="00E67F11"/>
    <w:rsid w:val="00E77326"/>
    <w:rsid w:val="00E81008"/>
    <w:rsid w:val="00E82EF9"/>
    <w:rsid w:val="00E939B0"/>
    <w:rsid w:val="00EA0BB3"/>
    <w:rsid w:val="00EA17CB"/>
    <w:rsid w:val="00EA4F30"/>
    <w:rsid w:val="00EA78F1"/>
    <w:rsid w:val="00EB2C34"/>
    <w:rsid w:val="00EB3050"/>
    <w:rsid w:val="00EB3BF0"/>
    <w:rsid w:val="00EB6B85"/>
    <w:rsid w:val="00EC189C"/>
    <w:rsid w:val="00EC1E74"/>
    <w:rsid w:val="00EC2AAE"/>
    <w:rsid w:val="00ED0040"/>
    <w:rsid w:val="00ED0C3E"/>
    <w:rsid w:val="00ED2612"/>
    <w:rsid w:val="00ED3704"/>
    <w:rsid w:val="00ED3B51"/>
    <w:rsid w:val="00EE0A68"/>
    <w:rsid w:val="00EE4B25"/>
    <w:rsid w:val="00EF2B9C"/>
    <w:rsid w:val="00F0103B"/>
    <w:rsid w:val="00F01C15"/>
    <w:rsid w:val="00F100F9"/>
    <w:rsid w:val="00F37995"/>
    <w:rsid w:val="00F42600"/>
    <w:rsid w:val="00F43747"/>
    <w:rsid w:val="00F503D7"/>
    <w:rsid w:val="00F54DC8"/>
    <w:rsid w:val="00F55008"/>
    <w:rsid w:val="00F56BB0"/>
    <w:rsid w:val="00F57BE2"/>
    <w:rsid w:val="00F70874"/>
    <w:rsid w:val="00F771F5"/>
    <w:rsid w:val="00F77C28"/>
    <w:rsid w:val="00F83183"/>
    <w:rsid w:val="00F8638B"/>
    <w:rsid w:val="00F87936"/>
    <w:rsid w:val="00F91044"/>
    <w:rsid w:val="00F9693D"/>
    <w:rsid w:val="00FA2952"/>
    <w:rsid w:val="00FB28C8"/>
    <w:rsid w:val="00FB5710"/>
    <w:rsid w:val="00FC157B"/>
    <w:rsid w:val="00FD3886"/>
    <w:rsid w:val="00FD5982"/>
    <w:rsid w:val="00FD7561"/>
    <w:rsid w:val="00FE29F1"/>
    <w:rsid w:val="00FE5A21"/>
    <w:rsid w:val="00FF2166"/>
    <w:rsid w:val="00FF2579"/>
    <w:rsid w:val="00FF2ADE"/>
    <w:rsid w:val="00FF7EEF"/>
    <w:rsid w:val="010C0C84"/>
    <w:rsid w:val="059A0DE5"/>
    <w:rsid w:val="05F04986"/>
    <w:rsid w:val="083C4CE3"/>
    <w:rsid w:val="08576B88"/>
    <w:rsid w:val="097C207C"/>
    <w:rsid w:val="09DF357C"/>
    <w:rsid w:val="0AA77F3A"/>
    <w:rsid w:val="0BCA17B6"/>
    <w:rsid w:val="0EB34BD4"/>
    <w:rsid w:val="1166009A"/>
    <w:rsid w:val="11986904"/>
    <w:rsid w:val="122A4BB4"/>
    <w:rsid w:val="12E4164C"/>
    <w:rsid w:val="13625391"/>
    <w:rsid w:val="14F5447E"/>
    <w:rsid w:val="151761E8"/>
    <w:rsid w:val="151B5087"/>
    <w:rsid w:val="15A83C03"/>
    <w:rsid w:val="176B44F9"/>
    <w:rsid w:val="179542B7"/>
    <w:rsid w:val="180774FA"/>
    <w:rsid w:val="19637EAF"/>
    <w:rsid w:val="19CA2162"/>
    <w:rsid w:val="1A5D4052"/>
    <w:rsid w:val="1AA03DF1"/>
    <w:rsid w:val="1BBC0EB3"/>
    <w:rsid w:val="1C0658F3"/>
    <w:rsid w:val="1CDB2C78"/>
    <w:rsid w:val="1CF57DC9"/>
    <w:rsid w:val="1E9B1B9F"/>
    <w:rsid w:val="1F607141"/>
    <w:rsid w:val="1FE36075"/>
    <w:rsid w:val="1FFF60E0"/>
    <w:rsid w:val="208739AC"/>
    <w:rsid w:val="230E6EB4"/>
    <w:rsid w:val="237C402B"/>
    <w:rsid w:val="25455F91"/>
    <w:rsid w:val="28544C2D"/>
    <w:rsid w:val="2AFB6CB9"/>
    <w:rsid w:val="2B7574EF"/>
    <w:rsid w:val="2B811BB1"/>
    <w:rsid w:val="2C9209DC"/>
    <w:rsid w:val="2E26053E"/>
    <w:rsid w:val="32A47D96"/>
    <w:rsid w:val="33275473"/>
    <w:rsid w:val="33D43E96"/>
    <w:rsid w:val="34506913"/>
    <w:rsid w:val="362D1273"/>
    <w:rsid w:val="37E50701"/>
    <w:rsid w:val="3883757B"/>
    <w:rsid w:val="3A241B80"/>
    <w:rsid w:val="3B010949"/>
    <w:rsid w:val="3BDC0944"/>
    <w:rsid w:val="3C8D0159"/>
    <w:rsid w:val="3D2808CF"/>
    <w:rsid w:val="3D2D2530"/>
    <w:rsid w:val="3D942241"/>
    <w:rsid w:val="3DBAE27F"/>
    <w:rsid w:val="3DE367B3"/>
    <w:rsid w:val="3EBA6FFA"/>
    <w:rsid w:val="3FC13F09"/>
    <w:rsid w:val="41D93F80"/>
    <w:rsid w:val="4227477B"/>
    <w:rsid w:val="43A062F5"/>
    <w:rsid w:val="43DF7599"/>
    <w:rsid w:val="460F4A84"/>
    <w:rsid w:val="47EF64D5"/>
    <w:rsid w:val="49BF3DA1"/>
    <w:rsid w:val="4A0E65F8"/>
    <w:rsid w:val="4A5C0A9B"/>
    <w:rsid w:val="4A832705"/>
    <w:rsid w:val="4C826067"/>
    <w:rsid w:val="4D241CF7"/>
    <w:rsid w:val="4DF274D8"/>
    <w:rsid w:val="4E0B6B5F"/>
    <w:rsid w:val="4E90472F"/>
    <w:rsid w:val="4EED29C2"/>
    <w:rsid w:val="4F0640A5"/>
    <w:rsid w:val="50465ACC"/>
    <w:rsid w:val="52A9652B"/>
    <w:rsid w:val="54C04245"/>
    <w:rsid w:val="56DD5807"/>
    <w:rsid w:val="56F1593C"/>
    <w:rsid w:val="573B587F"/>
    <w:rsid w:val="5A5C586B"/>
    <w:rsid w:val="5B772CDB"/>
    <w:rsid w:val="5BFB34D6"/>
    <w:rsid w:val="5C340911"/>
    <w:rsid w:val="5D3B60C7"/>
    <w:rsid w:val="5F6FBF41"/>
    <w:rsid w:val="607A3949"/>
    <w:rsid w:val="608619D9"/>
    <w:rsid w:val="61C81D02"/>
    <w:rsid w:val="6345C3D7"/>
    <w:rsid w:val="654B7829"/>
    <w:rsid w:val="65FF53B8"/>
    <w:rsid w:val="678104C0"/>
    <w:rsid w:val="690B36EB"/>
    <w:rsid w:val="69BF5E7E"/>
    <w:rsid w:val="6C856F80"/>
    <w:rsid w:val="6CB911D2"/>
    <w:rsid w:val="6CEB5A88"/>
    <w:rsid w:val="6E0B4E16"/>
    <w:rsid w:val="6F6A3086"/>
    <w:rsid w:val="70306E92"/>
    <w:rsid w:val="70525E60"/>
    <w:rsid w:val="732A265A"/>
    <w:rsid w:val="73DCC157"/>
    <w:rsid w:val="74A819DF"/>
    <w:rsid w:val="74C6243A"/>
    <w:rsid w:val="76BD67FF"/>
    <w:rsid w:val="77D112FA"/>
    <w:rsid w:val="786607DC"/>
    <w:rsid w:val="78FB9AEC"/>
    <w:rsid w:val="7990290A"/>
    <w:rsid w:val="7AFB8558"/>
    <w:rsid w:val="7BB6FBF7"/>
    <w:rsid w:val="7BE457B0"/>
    <w:rsid w:val="7BFEE9B2"/>
    <w:rsid w:val="7C3019E1"/>
    <w:rsid w:val="7CE96DE6"/>
    <w:rsid w:val="7D0D6C61"/>
    <w:rsid w:val="7DFFD29A"/>
    <w:rsid w:val="7E3E230D"/>
    <w:rsid w:val="7E5F75C5"/>
    <w:rsid w:val="7F841A59"/>
    <w:rsid w:val="7F874D98"/>
    <w:rsid w:val="7FDDCA71"/>
    <w:rsid w:val="9CE64FB3"/>
    <w:rsid w:val="9FFA63DD"/>
    <w:rsid w:val="B5FD0BC1"/>
    <w:rsid w:val="B67B3244"/>
    <w:rsid w:val="BBFFAAE0"/>
    <w:rsid w:val="BE2E3783"/>
    <w:rsid w:val="BF90C652"/>
    <w:rsid w:val="CEE6130E"/>
    <w:rsid w:val="D187BDC6"/>
    <w:rsid w:val="D3EF3972"/>
    <w:rsid w:val="EFFD4F9C"/>
    <w:rsid w:val="F6FF631E"/>
    <w:rsid w:val="F9BBE004"/>
    <w:rsid w:val="F9F32D8E"/>
    <w:rsid w:val="FBF4C78A"/>
    <w:rsid w:val="FD557D36"/>
    <w:rsid w:val="FF5BB211"/>
    <w:rsid w:val="FF5D7D0D"/>
    <w:rsid w:val="FF9F0BF9"/>
    <w:rsid w:val="FFF1385A"/>
    <w:rsid w:val="FFF972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semiHidden="0" w:name="heading 5"/>
    <w:lsdException w:qFormat="1" w:uiPriority="9" w:semiHidden="0" w:name="heading 6"/>
    <w:lsdException w:qFormat="1" w:uiPriority="9" w:semiHidden="0" w:name="heading 7"/>
    <w:lsdException w:qFormat="1" w:uiPriority="9" w:semiHidden="0"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qFormat="1" w:unhideWhenUsed="0" w:uiPriority="0" w:semiHidden="0"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nhideWhenUsed="0" w:uiPriority="0"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pPr>
    <w:rPr>
      <w:rFonts w:ascii="Tahoma" w:hAnsi="Tahoma" w:eastAsia="微软雅黑" w:cstheme="minorBidi"/>
      <w:sz w:val="22"/>
      <w:szCs w:val="22"/>
      <w:lang w:val="en-US" w:eastAsia="zh-CN" w:bidi="ar-SA"/>
    </w:rPr>
  </w:style>
  <w:style w:type="paragraph" w:styleId="2">
    <w:name w:val="heading 1"/>
    <w:basedOn w:val="1"/>
    <w:next w:val="1"/>
    <w:link w:val="39"/>
    <w:qFormat/>
    <w:uiPriority w:val="9"/>
    <w:pPr>
      <w:keepNext/>
      <w:keepLines/>
      <w:widowControl w:val="0"/>
      <w:adjustRightInd/>
      <w:snapToGrid/>
      <w:spacing w:before="340" w:after="330" w:line="578" w:lineRule="auto"/>
      <w:jc w:val="both"/>
      <w:outlineLvl w:val="0"/>
    </w:pPr>
    <w:rPr>
      <w:rFonts w:asciiTheme="minorHAnsi" w:hAnsiTheme="minorHAnsi" w:eastAsiaTheme="minorEastAsia"/>
      <w:b/>
      <w:bCs/>
      <w:kern w:val="44"/>
      <w:sz w:val="44"/>
      <w:szCs w:val="44"/>
    </w:rPr>
  </w:style>
  <w:style w:type="paragraph" w:styleId="3">
    <w:name w:val="heading 2"/>
    <w:basedOn w:val="1"/>
    <w:next w:val="1"/>
    <w:link w:val="40"/>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42"/>
    <w:unhideWhenUsed/>
    <w:qFormat/>
    <w:uiPriority w:val="9"/>
    <w:pPr>
      <w:keepNext/>
      <w:keepLines/>
      <w:spacing w:before="260" w:after="260" w:line="416" w:lineRule="auto"/>
      <w:outlineLvl w:val="2"/>
    </w:pPr>
    <w:rPr>
      <w:b/>
      <w:bCs/>
      <w:sz w:val="32"/>
      <w:szCs w:val="32"/>
    </w:rPr>
  </w:style>
  <w:style w:type="paragraph" w:styleId="5">
    <w:name w:val="heading 4"/>
    <w:basedOn w:val="1"/>
    <w:next w:val="1"/>
    <w:link w:val="43"/>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44"/>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45"/>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46"/>
    <w:unhideWhenUsed/>
    <w:qFormat/>
    <w:uiPriority w:val="9"/>
    <w:pPr>
      <w:keepNext/>
      <w:keepLines/>
      <w:spacing w:before="240" w:after="64" w:line="320" w:lineRule="auto"/>
      <w:outlineLvl w:val="6"/>
    </w:pPr>
    <w:rPr>
      <w:b/>
      <w:bCs/>
      <w:sz w:val="24"/>
      <w:szCs w:val="24"/>
    </w:rPr>
  </w:style>
  <w:style w:type="paragraph" w:styleId="9">
    <w:name w:val="heading 8"/>
    <w:basedOn w:val="1"/>
    <w:next w:val="1"/>
    <w:link w:val="47"/>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29">
    <w:name w:val="Default Paragraph Font"/>
    <w:semiHidden/>
    <w:unhideWhenUsed/>
    <w:qFormat/>
    <w:uiPriority w:val="1"/>
  </w:style>
  <w:style w:type="table" w:default="1" w:styleId="27">
    <w:name w:val="Normal Table"/>
    <w:semiHidden/>
    <w:unhideWhenUsed/>
    <w:qFormat/>
    <w:uiPriority w:val="99"/>
    <w:tblPr>
      <w:tblCellMar>
        <w:top w:w="0" w:type="dxa"/>
        <w:left w:w="108" w:type="dxa"/>
        <w:bottom w:w="0" w:type="dxa"/>
        <w:right w:w="108" w:type="dxa"/>
      </w:tblCellMar>
    </w:tblPr>
  </w:style>
  <w:style w:type="paragraph" w:styleId="10">
    <w:name w:val="toc 7"/>
    <w:basedOn w:val="1"/>
    <w:next w:val="1"/>
    <w:unhideWhenUsed/>
    <w:qFormat/>
    <w:uiPriority w:val="39"/>
    <w:pPr>
      <w:widowControl w:val="0"/>
      <w:adjustRightInd/>
      <w:snapToGrid/>
      <w:spacing w:after="0"/>
      <w:ind w:left="2520" w:leftChars="1200"/>
      <w:jc w:val="both"/>
    </w:pPr>
    <w:rPr>
      <w:rFonts w:asciiTheme="minorHAnsi" w:hAnsiTheme="minorHAnsi" w:eastAsiaTheme="minorEastAsia"/>
      <w:kern w:val="2"/>
      <w:sz w:val="21"/>
    </w:rPr>
  </w:style>
  <w:style w:type="paragraph" w:styleId="11">
    <w:name w:val="Normal Indent"/>
    <w:basedOn w:val="1"/>
    <w:qFormat/>
    <w:uiPriority w:val="0"/>
    <w:pPr>
      <w:spacing w:before="100" w:beforeAutospacing="1" w:after="100" w:afterAutospacing="1" w:line="360" w:lineRule="auto"/>
      <w:ind w:firstLine="482"/>
    </w:pPr>
    <w:rPr>
      <w:rFonts w:ascii="Arial" w:hAnsi="Arial"/>
      <w:sz w:val="24"/>
      <w:szCs w:val="20"/>
    </w:rPr>
  </w:style>
  <w:style w:type="paragraph" w:styleId="12">
    <w:name w:val="annotation text"/>
    <w:basedOn w:val="1"/>
    <w:semiHidden/>
    <w:unhideWhenUsed/>
    <w:qFormat/>
    <w:uiPriority w:val="99"/>
  </w:style>
  <w:style w:type="paragraph" w:styleId="13">
    <w:name w:val="Body Text Indent"/>
    <w:basedOn w:val="1"/>
    <w:qFormat/>
    <w:uiPriority w:val="0"/>
    <w:pPr>
      <w:spacing w:after="120"/>
      <w:ind w:left="420" w:leftChars="200"/>
    </w:pPr>
  </w:style>
  <w:style w:type="paragraph" w:styleId="14">
    <w:name w:val="toc 5"/>
    <w:basedOn w:val="1"/>
    <w:next w:val="1"/>
    <w:unhideWhenUsed/>
    <w:qFormat/>
    <w:uiPriority w:val="39"/>
    <w:pPr>
      <w:widowControl w:val="0"/>
      <w:adjustRightInd/>
      <w:snapToGrid/>
      <w:spacing w:after="0"/>
      <w:ind w:left="1680" w:leftChars="800"/>
      <w:jc w:val="both"/>
    </w:pPr>
    <w:rPr>
      <w:rFonts w:asciiTheme="minorHAnsi" w:hAnsiTheme="minorHAnsi" w:eastAsiaTheme="minorEastAsia"/>
      <w:kern w:val="2"/>
      <w:sz w:val="21"/>
    </w:rPr>
  </w:style>
  <w:style w:type="paragraph" w:styleId="15">
    <w:name w:val="toc 3"/>
    <w:basedOn w:val="1"/>
    <w:next w:val="1"/>
    <w:unhideWhenUsed/>
    <w:qFormat/>
    <w:uiPriority w:val="39"/>
    <w:pPr>
      <w:ind w:left="840" w:leftChars="400"/>
    </w:pPr>
  </w:style>
  <w:style w:type="paragraph" w:styleId="16">
    <w:name w:val="toc 8"/>
    <w:basedOn w:val="1"/>
    <w:next w:val="1"/>
    <w:unhideWhenUsed/>
    <w:qFormat/>
    <w:uiPriority w:val="39"/>
    <w:pPr>
      <w:widowControl w:val="0"/>
      <w:adjustRightInd/>
      <w:snapToGrid/>
      <w:spacing w:after="0"/>
      <w:ind w:left="2940" w:leftChars="1400"/>
      <w:jc w:val="both"/>
    </w:pPr>
    <w:rPr>
      <w:rFonts w:asciiTheme="minorHAnsi" w:hAnsiTheme="minorHAnsi" w:eastAsiaTheme="minorEastAsia"/>
      <w:kern w:val="2"/>
      <w:sz w:val="21"/>
    </w:rPr>
  </w:style>
  <w:style w:type="paragraph" w:styleId="17">
    <w:name w:val="Balloon Text"/>
    <w:basedOn w:val="1"/>
    <w:link w:val="51"/>
    <w:semiHidden/>
    <w:unhideWhenUsed/>
    <w:qFormat/>
    <w:uiPriority w:val="99"/>
    <w:pPr>
      <w:spacing w:after="0"/>
    </w:pPr>
    <w:rPr>
      <w:sz w:val="18"/>
      <w:szCs w:val="18"/>
    </w:rPr>
  </w:style>
  <w:style w:type="paragraph" w:styleId="18">
    <w:name w:val="footer"/>
    <w:basedOn w:val="1"/>
    <w:link w:val="33"/>
    <w:unhideWhenUsed/>
    <w:qFormat/>
    <w:uiPriority w:val="99"/>
    <w:pPr>
      <w:tabs>
        <w:tab w:val="center" w:pos="4153"/>
        <w:tab w:val="right" w:pos="8306"/>
      </w:tabs>
    </w:pPr>
    <w:rPr>
      <w:sz w:val="18"/>
      <w:szCs w:val="18"/>
    </w:rPr>
  </w:style>
  <w:style w:type="paragraph" w:styleId="19">
    <w:name w:val="header"/>
    <w:basedOn w:val="1"/>
    <w:link w:val="32"/>
    <w:unhideWhenUsed/>
    <w:qFormat/>
    <w:uiPriority w:val="99"/>
    <w:pPr>
      <w:pBdr>
        <w:bottom w:val="single" w:color="auto" w:sz="6" w:space="1"/>
      </w:pBdr>
      <w:tabs>
        <w:tab w:val="center" w:pos="4153"/>
        <w:tab w:val="right" w:pos="8306"/>
      </w:tabs>
      <w:jc w:val="center"/>
    </w:pPr>
    <w:rPr>
      <w:sz w:val="18"/>
      <w:szCs w:val="18"/>
    </w:rPr>
  </w:style>
  <w:style w:type="paragraph" w:styleId="20">
    <w:name w:val="toc 1"/>
    <w:basedOn w:val="1"/>
    <w:next w:val="1"/>
    <w:unhideWhenUsed/>
    <w:qFormat/>
    <w:uiPriority w:val="39"/>
    <w:pPr>
      <w:tabs>
        <w:tab w:val="right" w:leader="dot" w:pos="8834"/>
      </w:tabs>
      <w:jc w:val="center"/>
    </w:pPr>
  </w:style>
  <w:style w:type="paragraph" w:styleId="21">
    <w:name w:val="toc 4"/>
    <w:basedOn w:val="1"/>
    <w:next w:val="1"/>
    <w:unhideWhenUsed/>
    <w:qFormat/>
    <w:uiPriority w:val="39"/>
    <w:pPr>
      <w:ind w:left="1260" w:leftChars="600"/>
    </w:pPr>
  </w:style>
  <w:style w:type="paragraph" w:styleId="22">
    <w:name w:val="toc 6"/>
    <w:basedOn w:val="1"/>
    <w:next w:val="1"/>
    <w:unhideWhenUsed/>
    <w:qFormat/>
    <w:uiPriority w:val="39"/>
    <w:pPr>
      <w:widowControl w:val="0"/>
      <w:adjustRightInd/>
      <w:snapToGrid/>
      <w:spacing w:after="0"/>
      <w:ind w:left="2100" w:leftChars="1000"/>
      <w:jc w:val="both"/>
    </w:pPr>
    <w:rPr>
      <w:rFonts w:asciiTheme="minorHAnsi" w:hAnsiTheme="minorHAnsi" w:eastAsiaTheme="minorEastAsia"/>
      <w:kern w:val="2"/>
      <w:sz w:val="21"/>
    </w:rPr>
  </w:style>
  <w:style w:type="paragraph" w:styleId="23">
    <w:name w:val="toc 2"/>
    <w:basedOn w:val="1"/>
    <w:next w:val="1"/>
    <w:unhideWhenUsed/>
    <w:qFormat/>
    <w:uiPriority w:val="39"/>
    <w:pPr>
      <w:ind w:left="420" w:leftChars="200"/>
    </w:pPr>
  </w:style>
  <w:style w:type="paragraph" w:styleId="24">
    <w:name w:val="toc 9"/>
    <w:basedOn w:val="1"/>
    <w:next w:val="1"/>
    <w:unhideWhenUsed/>
    <w:qFormat/>
    <w:uiPriority w:val="39"/>
    <w:pPr>
      <w:widowControl w:val="0"/>
      <w:adjustRightInd/>
      <w:snapToGrid/>
      <w:spacing w:after="0"/>
      <w:ind w:left="3360" w:leftChars="1600"/>
      <w:jc w:val="both"/>
    </w:pPr>
    <w:rPr>
      <w:rFonts w:asciiTheme="minorHAnsi" w:hAnsiTheme="minorHAnsi" w:eastAsiaTheme="minorEastAsia"/>
      <w:kern w:val="2"/>
      <w:sz w:val="21"/>
    </w:rPr>
  </w:style>
  <w:style w:type="paragraph" w:styleId="25">
    <w:name w:val="Normal (Web)"/>
    <w:basedOn w:val="1"/>
    <w:unhideWhenUsed/>
    <w:qFormat/>
    <w:uiPriority w:val="99"/>
    <w:pPr>
      <w:adjustRightInd/>
      <w:snapToGrid/>
      <w:spacing w:before="100" w:beforeAutospacing="1" w:after="100" w:afterAutospacing="1"/>
    </w:pPr>
    <w:rPr>
      <w:rFonts w:ascii="宋体" w:hAnsi="宋体" w:eastAsia="宋体" w:cs="宋体"/>
      <w:sz w:val="24"/>
      <w:szCs w:val="24"/>
    </w:rPr>
  </w:style>
  <w:style w:type="paragraph" w:styleId="26">
    <w:name w:val="Body Text First Indent 2"/>
    <w:basedOn w:val="13"/>
    <w:next w:val="13"/>
    <w:qFormat/>
    <w:uiPriority w:val="0"/>
    <w:pPr>
      <w:tabs>
        <w:tab w:val="left" w:pos="0"/>
      </w:tabs>
      <w:spacing w:after="0" w:line="360" w:lineRule="auto"/>
      <w:ind w:left="0" w:leftChars="0" w:firstLine="200" w:firstLineChars="200"/>
    </w:pPr>
    <w:rPr>
      <w:rFonts w:ascii="宋体" w:hAnsi="宋体" w:eastAsia="仿宋"/>
      <w:color w:val="000000"/>
      <w:sz w:val="32"/>
    </w:rPr>
  </w:style>
  <w:style w:type="table" w:styleId="28">
    <w:name w:val="Table Grid"/>
    <w:basedOn w:val="27"/>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0">
    <w:name w:val="Hyperlink"/>
    <w:basedOn w:val="29"/>
    <w:unhideWhenUsed/>
    <w:qFormat/>
    <w:uiPriority w:val="99"/>
    <w:rPr>
      <w:color w:val="0000FF" w:themeColor="hyperlink"/>
      <w:u w:val="single"/>
      <w14:textFill>
        <w14:solidFill>
          <w14:schemeClr w14:val="hlink"/>
        </w14:solidFill>
      </w14:textFill>
    </w:rPr>
  </w:style>
  <w:style w:type="character" w:styleId="31">
    <w:name w:val="annotation reference"/>
    <w:basedOn w:val="29"/>
    <w:semiHidden/>
    <w:unhideWhenUsed/>
    <w:qFormat/>
    <w:uiPriority w:val="99"/>
    <w:rPr>
      <w:sz w:val="21"/>
      <w:szCs w:val="21"/>
    </w:rPr>
  </w:style>
  <w:style w:type="character" w:customStyle="1" w:styleId="32">
    <w:name w:val="页眉 字符"/>
    <w:basedOn w:val="29"/>
    <w:link w:val="19"/>
    <w:semiHidden/>
    <w:qFormat/>
    <w:uiPriority w:val="99"/>
    <w:rPr>
      <w:rFonts w:ascii="Tahoma" w:hAnsi="Tahoma"/>
      <w:sz w:val="18"/>
      <w:szCs w:val="18"/>
    </w:rPr>
  </w:style>
  <w:style w:type="character" w:customStyle="1" w:styleId="33">
    <w:name w:val="页脚 字符"/>
    <w:basedOn w:val="29"/>
    <w:link w:val="18"/>
    <w:qFormat/>
    <w:uiPriority w:val="99"/>
    <w:rPr>
      <w:rFonts w:ascii="Tahoma" w:hAnsi="Tahoma"/>
      <w:sz w:val="18"/>
      <w:szCs w:val="18"/>
    </w:rPr>
  </w:style>
  <w:style w:type="character" w:customStyle="1" w:styleId="34">
    <w:name w:val="页脚 字符1"/>
    <w:qFormat/>
    <w:uiPriority w:val="99"/>
    <w:rPr>
      <w:sz w:val="18"/>
      <w:szCs w:val="18"/>
    </w:rPr>
  </w:style>
  <w:style w:type="character" w:customStyle="1" w:styleId="35">
    <w:name w:val="页眉 字符1"/>
    <w:qFormat/>
    <w:uiPriority w:val="99"/>
    <w:rPr>
      <w:sz w:val="18"/>
      <w:szCs w:val="18"/>
    </w:rPr>
  </w:style>
  <w:style w:type="paragraph" w:customStyle="1" w:styleId="36">
    <w:name w:val="办法提纲"/>
    <w:basedOn w:val="37"/>
    <w:qFormat/>
    <w:uiPriority w:val="0"/>
    <w:pPr>
      <w:ind w:firstLine="480"/>
    </w:pPr>
    <w:rPr>
      <w:sz w:val="24"/>
    </w:rPr>
  </w:style>
  <w:style w:type="paragraph" w:customStyle="1" w:styleId="37">
    <w:name w:val="办法正文"/>
    <w:basedOn w:val="1"/>
    <w:qFormat/>
    <w:uiPriority w:val="0"/>
    <w:pPr>
      <w:spacing w:line="600" w:lineRule="exact"/>
      <w:ind w:firstLine="200" w:firstLineChars="200"/>
    </w:pPr>
    <w:rPr>
      <w:rFonts w:ascii="仿宋_GB2312" w:hAnsi="宋体" w:eastAsia="仿宋_GB2312" w:cs="宋体"/>
      <w:sz w:val="32"/>
      <w:szCs w:val="32"/>
    </w:rPr>
  </w:style>
  <w:style w:type="paragraph" w:customStyle="1" w:styleId="38">
    <w:name w:val="列表段落1"/>
    <w:basedOn w:val="1"/>
    <w:qFormat/>
    <w:uiPriority w:val="34"/>
    <w:pPr>
      <w:widowControl w:val="0"/>
      <w:adjustRightInd/>
      <w:snapToGrid/>
      <w:spacing w:after="0"/>
      <w:ind w:firstLine="420" w:firstLineChars="200"/>
      <w:jc w:val="both"/>
    </w:pPr>
    <w:rPr>
      <w:rFonts w:ascii="Calibri" w:hAnsi="Calibri" w:eastAsia="宋体" w:cs="Times New Roman"/>
      <w:kern w:val="2"/>
      <w:sz w:val="21"/>
    </w:rPr>
  </w:style>
  <w:style w:type="character" w:customStyle="1" w:styleId="39">
    <w:name w:val="标题 1 字符"/>
    <w:basedOn w:val="29"/>
    <w:link w:val="2"/>
    <w:qFormat/>
    <w:uiPriority w:val="9"/>
    <w:rPr>
      <w:rFonts w:eastAsiaTheme="minorEastAsia"/>
      <w:b/>
      <w:bCs/>
      <w:kern w:val="44"/>
      <w:sz w:val="44"/>
      <w:szCs w:val="44"/>
    </w:rPr>
  </w:style>
  <w:style w:type="character" w:customStyle="1" w:styleId="40">
    <w:name w:val="标题 2 字符"/>
    <w:basedOn w:val="29"/>
    <w:link w:val="3"/>
    <w:qFormat/>
    <w:uiPriority w:val="9"/>
    <w:rPr>
      <w:rFonts w:asciiTheme="majorHAnsi" w:hAnsiTheme="majorHAnsi" w:eastAsiaTheme="majorEastAsia" w:cstheme="majorBidi"/>
      <w:b/>
      <w:bCs/>
      <w:sz w:val="32"/>
      <w:szCs w:val="32"/>
    </w:rPr>
  </w:style>
  <w:style w:type="paragraph" w:styleId="41">
    <w:name w:val="List Paragraph"/>
    <w:basedOn w:val="1"/>
    <w:qFormat/>
    <w:uiPriority w:val="99"/>
    <w:pPr>
      <w:ind w:firstLine="420" w:firstLineChars="200"/>
    </w:pPr>
  </w:style>
  <w:style w:type="character" w:customStyle="1" w:styleId="42">
    <w:name w:val="标题 3 字符"/>
    <w:basedOn w:val="29"/>
    <w:link w:val="4"/>
    <w:qFormat/>
    <w:uiPriority w:val="9"/>
    <w:rPr>
      <w:rFonts w:ascii="Tahoma" w:hAnsi="Tahoma"/>
      <w:b/>
      <w:bCs/>
      <w:sz w:val="32"/>
      <w:szCs w:val="32"/>
    </w:rPr>
  </w:style>
  <w:style w:type="character" w:customStyle="1" w:styleId="43">
    <w:name w:val="标题 4 字符"/>
    <w:basedOn w:val="29"/>
    <w:link w:val="5"/>
    <w:qFormat/>
    <w:uiPriority w:val="9"/>
    <w:rPr>
      <w:rFonts w:asciiTheme="majorHAnsi" w:hAnsiTheme="majorHAnsi" w:eastAsiaTheme="majorEastAsia" w:cstheme="majorBidi"/>
      <w:b/>
      <w:bCs/>
      <w:sz w:val="28"/>
      <w:szCs w:val="28"/>
    </w:rPr>
  </w:style>
  <w:style w:type="character" w:customStyle="1" w:styleId="44">
    <w:name w:val="标题 5 字符"/>
    <w:basedOn w:val="29"/>
    <w:link w:val="6"/>
    <w:qFormat/>
    <w:uiPriority w:val="9"/>
    <w:rPr>
      <w:rFonts w:ascii="Tahoma" w:hAnsi="Tahoma"/>
      <w:b/>
      <w:bCs/>
      <w:sz w:val="28"/>
      <w:szCs w:val="28"/>
    </w:rPr>
  </w:style>
  <w:style w:type="character" w:customStyle="1" w:styleId="45">
    <w:name w:val="标题 6 字符"/>
    <w:basedOn w:val="29"/>
    <w:link w:val="7"/>
    <w:qFormat/>
    <w:uiPriority w:val="9"/>
    <w:rPr>
      <w:rFonts w:asciiTheme="majorHAnsi" w:hAnsiTheme="majorHAnsi" w:eastAsiaTheme="majorEastAsia" w:cstheme="majorBidi"/>
      <w:b/>
      <w:bCs/>
      <w:sz w:val="24"/>
      <w:szCs w:val="24"/>
    </w:rPr>
  </w:style>
  <w:style w:type="character" w:customStyle="1" w:styleId="46">
    <w:name w:val="标题 7 字符"/>
    <w:basedOn w:val="29"/>
    <w:link w:val="8"/>
    <w:qFormat/>
    <w:uiPriority w:val="9"/>
    <w:rPr>
      <w:rFonts w:ascii="Tahoma" w:hAnsi="Tahoma"/>
      <w:b/>
      <w:bCs/>
      <w:sz w:val="24"/>
      <w:szCs w:val="24"/>
    </w:rPr>
  </w:style>
  <w:style w:type="character" w:customStyle="1" w:styleId="47">
    <w:name w:val="标题 8 字符"/>
    <w:basedOn w:val="29"/>
    <w:link w:val="9"/>
    <w:qFormat/>
    <w:uiPriority w:val="9"/>
    <w:rPr>
      <w:rFonts w:asciiTheme="majorHAnsi" w:hAnsiTheme="majorHAnsi" w:eastAsiaTheme="majorEastAsia" w:cstheme="majorBidi"/>
      <w:sz w:val="24"/>
      <w:szCs w:val="24"/>
    </w:rPr>
  </w:style>
  <w:style w:type="character" w:customStyle="1" w:styleId="48">
    <w:name w:val="font11"/>
    <w:basedOn w:val="29"/>
    <w:qFormat/>
    <w:uiPriority w:val="0"/>
    <w:rPr>
      <w:rFonts w:hint="eastAsia" w:ascii="仿宋" w:hAnsi="仿宋" w:eastAsia="仿宋" w:cs="仿宋"/>
      <w:color w:val="000000"/>
      <w:sz w:val="24"/>
      <w:szCs w:val="24"/>
      <w:u w:val="none"/>
    </w:rPr>
  </w:style>
  <w:style w:type="character" w:styleId="49">
    <w:name w:val="Placeholder Text"/>
    <w:basedOn w:val="29"/>
    <w:semiHidden/>
    <w:qFormat/>
    <w:uiPriority w:val="99"/>
    <w:rPr>
      <w:color w:val="808080"/>
    </w:rPr>
  </w:style>
  <w:style w:type="paragraph" w:customStyle="1" w:styleId="50">
    <w:name w:val="修订1"/>
    <w:hidden/>
    <w:semiHidden/>
    <w:qFormat/>
    <w:uiPriority w:val="99"/>
    <w:rPr>
      <w:rFonts w:ascii="Tahoma" w:hAnsi="Tahoma" w:eastAsia="微软雅黑" w:cstheme="minorBidi"/>
      <w:sz w:val="22"/>
      <w:szCs w:val="22"/>
      <w:lang w:val="en-US" w:eastAsia="zh-CN" w:bidi="ar-SA"/>
    </w:rPr>
  </w:style>
  <w:style w:type="character" w:customStyle="1" w:styleId="51">
    <w:name w:val="批注框文本 字符"/>
    <w:basedOn w:val="29"/>
    <w:link w:val="17"/>
    <w:semiHidden/>
    <w:qFormat/>
    <w:uiPriority w:val="99"/>
    <w:rPr>
      <w:rFonts w:ascii="Tahoma" w:hAnsi="Tahoma" w:eastAsia="微软雅黑"/>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67</Pages>
  <Words>7740</Words>
  <Characters>44122</Characters>
  <Lines>367</Lines>
  <Paragraphs>103</Paragraphs>
  <TotalTime>24</TotalTime>
  <ScaleCrop>false</ScaleCrop>
  <LinksUpToDate>false</LinksUpToDate>
  <CharactersWithSpaces>51759</CharactersWithSpaces>
  <Application>WPS Office_11.8.2.10458_F1E327BC-269C-435d-A152-05C5408002CA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2008-09-18T17:20:00Z</dcterms:created>
  <dc:creator>Administrator</dc:creator>
  <cp:lastModifiedBy>inspur</cp:lastModifiedBy>
  <cp:lastPrinted>2022-12-13T02:46:00Z</cp:lastPrinted>
  <dcterms:modified xsi:type="dcterms:W3CDTF">2022-12-14T14:07:57Z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2052-11.8.2.10458</vt:lpwstr>
  </property>
  <property fmtid="{D5CDD505-2E9C-101B-9397-08002B2CF9AE}" pid="3" name="ICV">
    <vt:lpwstr>A17EBADF82D4419DA489996F1152DD94</vt:lpwstr>
  </property>
</Properties>
</file>