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right="155" w:rightChars="74"/>
        <w:jc w:val="center"/>
        <w:rPr>
          <w:rFonts w:hint="eastAsia" w:ascii="宋体" w:hAnsi="宋体" w:cs="宋体"/>
          <w:b/>
          <w:bCs/>
          <w:color w:val="auto"/>
          <w:spacing w:val="-6"/>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155" w:rightChars="74" w:firstLine="964" w:firstLineChars="300"/>
        <w:jc w:val="both"/>
        <w:textAlignment w:val="auto"/>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秦皇岛市民政局</w:t>
      </w:r>
      <w:r>
        <w:rPr>
          <w:rFonts w:hint="eastAsia" w:ascii="宋体" w:hAnsi="宋体" w:cs="宋体"/>
          <w:b/>
          <w:bCs/>
          <w:color w:val="auto"/>
          <w:sz w:val="32"/>
          <w:szCs w:val="32"/>
          <w:highlight w:val="none"/>
          <w:lang w:val="en-US" w:eastAsia="zh-CN"/>
        </w:rPr>
        <w:t>2023年度康复辅助器具社区租赁服务</w:t>
      </w:r>
    </w:p>
    <w:p>
      <w:pPr>
        <w:autoSpaceDE w:val="0"/>
        <w:autoSpaceDN w:val="0"/>
        <w:adjustRightInd w:val="0"/>
        <w:jc w:val="center"/>
        <w:rPr>
          <w:rFonts w:hint="eastAsia" w:ascii="宋体" w:hAnsi="宋体" w:eastAsia="宋体" w:cs="宋体"/>
          <w:b/>
          <w:bCs/>
          <w:color w:val="auto"/>
          <w:sz w:val="44"/>
          <w:szCs w:val="44"/>
          <w:highlight w:val="none"/>
          <w:lang w:val="zh-CN"/>
        </w:rPr>
      </w:pPr>
    </w:p>
    <w:p>
      <w:pPr>
        <w:autoSpaceDE w:val="0"/>
        <w:autoSpaceDN w:val="0"/>
        <w:adjustRightInd w:val="0"/>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竞争性磋商文件</w:t>
      </w:r>
    </w:p>
    <w:p>
      <w:pPr>
        <w:autoSpaceDE w:val="0"/>
        <w:autoSpaceDN w:val="0"/>
        <w:adjustRightInd w:val="0"/>
        <w:rPr>
          <w:rFonts w:hint="eastAsia" w:ascii="宋体" w:hAnsi="宋体" w:eastAsia="宋体" w:cs="宋体"/>
          <w:color w:val="auto"/>
          <w:sz w:val="24"/>
          <w:highlight w:val="none"/>
          <w:lang w:val="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right="0" w:firstLine="2361" w:firstLineChars="700"/>
        <w:jc w:val="both"/>
        <w:rPr>
          <w:rFonts w:hint="eastAsia" w:ascii="宋体" w:hAnsi="宋体" w:eastAsia="宋体" w:cs="宋体"/>
          <w:color w:val="auto"/>
          <w:sz w:val="24"/>
          <w:szCs w:val="21"/>
          <w:highlight w:val="none"/>
          <w:lang w:val="zh-CN"/>
        </w:rPr>
      </w:pPr>
      <w:r>
        <w:rPr>
          <w:rFonts w:hint="eastAsia" w:ascii="宋体" w:hAnsi="宋体" w:eastAsia="宋体" w:cs="宋体"/>
          <w:b/>
          <w:color w:val="auto"/>
          <w:spacing w:val="8"/>
          <w:sz w:val="32"/>
          <w:szCs w:val="30"/>
          <w:highlight w:val="none"/>
          <w:lang w:val="zh-CN" w:eastAsia="zh-CN"/>
        </w:rPr>
        <w:t>项目编号：Z1303002303422301</w:t>
      </w:r>
    </w:p>
    <w:p>
      <w:pPr>
        <w:autoSpaceDE w:val="0"/>
        <w:autoSpaceDN w:val="0"/>
        <w:adjustRightInd w:val="0"/>
        <w:rPr>
          <w:rFonts w:hint="eastAsia" w:ascii="宋体" w:hAnsi="宋体" w:eastAsia="宋体" w:cs="宋体"/>
          <w:color w:val="auto"/>
          <w:sz w:val="24"/>
          <w:szCs w:val="21"/>
          <w:highlight w:val="none"/>
          <w:lang w:val="zh-CN"/>
        </w:rPr>
      </w:pPr>
    </w:p>
    <w:p>
      <w:pPr>
        <w:autoSpaceDE w:val="0"/>
        <w:autoSpaceDN w:val="0"/>
        <w:adjustRightInd w:val="0"/>
        <w:rPr>
          <w:rFonts w:hint="eastAsia" w:ascii="宋体" w:hAnsi="宋体" w:eastAsia="宋体" w:cs="宋体"/>
          <w:color w:val="auto"/>
          <w:sz w:val="24"/>
          <w:szCs w:val="21"/>
          <w:highlight w:val="none"/>
          <w:lang w:val="zh-CN"/>
        </w:rPr>
      </w:pPr>
    </w:p>
    <w:p>
      <w:pPr>
        <w:autoSpaceDE w:val="0"/>
        <w:autoSpaceDN w:val="0"/>
        <w:adjustRightInd w:val="0"/>
        <w:rPr>
          <w:rFonts w:hint="eastAsia" w:ascii="宋体" w:hAnsi="宋体" w:eastAsia="宋体" w:cs="宋体"/>
          <w:color w:val="auto"/>
          <w:sz w:val="24"/>
          <w:szCs w:val="21"/>
          <w:highlight w:val="none"/>
          <w:lang w:val="zh-CN"/>
        </w:rPr>
      </w:pPr>
      <w:r>
        <w:rPr>
          <w:rFonts w:hint="eastAsia"/>
          <w:sz w:val="68"/>
          <w:szCs w:val="68"/>
          <w:highlight w:val="none"/>
          <w:lang w:val="en-US" w:eastAsia="zh-CN"/>
        </w:rPr>
        <w:t xml:space="preserve">          </w:t>
      </w:r>
      <w:r>
        <w:rPr>
          <w:sz w:val="68"/>
          <w:szCs w:val="68"/>
          <w:highlight w:val="none"/>
        </w:rPr>
        <w:drawing>
          <wp:inline distT="0" distB="0" distL="114300" distR="114300">
            <wp:extent cx="1530985" cy="1504950"/>
            <wp:effectExtent l="0" t="0" r="0" b="0"/>
            <wp:docPr id="3"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图片1.png图片1"/>
                    <pic:cNvPicPr>
                      <a:picLocks noChangeAspect="1"/>
                    </pic:cNvPicPr>
                  </pic:nvPicPr>
                  <pic:blipFill>
                    <a:blip r:embed="rId10"/>
                    <a:stretch>
                      <a:fillRect/>
                    </a:stretch>
                  </pic:blipFill>
                  <pic:spPr>
                    <a:xfrm>
                      <a:off x="0" y="0"/>
                      <a:ext cx="1530985" cy="1504950"/>
                    </a:xfrm>
                    <a:prstGeom prst="rect">
                      <a:avLst/>
                    </a:prstGeom>
                    <a:noFill/>
                    <a:ln>
                      <a:noFill/>
                    </a:ln>
                  </pic:spPr>
                </pic:pic>
              </a:graphicData>
            </a:graphic>
          </wp:inline>
        </w:drawing>
      </w:r>
    </w:p>
    <w:p>
      <w:pPr>
        <w:autoSpaceDE w:val="0"/>
        <w:autoSpaceDN w:val="0"/>
        <w:adjustRightInd w:val="0"/>
        <w:rPr>
          <w:rFonts w:hint="eastAsia" w:ascii="宋体" w:hAnsi="宋体" w:eastAsia="宋体" w:cs="宋体"/>
          <w:color w:val="auto"/>
          <w:sz w:val="24"/>
          <w:szCs w:val="21"/>
          <w:highlight w:val="none"/>
          <w:lang w:val="zh-CN"/>
        </w:rPr>
      </w:pPr>
    </w:p>
    <w:p>
      <w:pPr>
        <w:autoSpaceDE w:val="0"/>
        <w:autoSpaceDN w:val="0"/>
        <w:adjustRightInd w:val="0"/>
        <w:rPr>
          <w:rFonts w:hint="eastAsia" w:ascii="宋体" w:hAnsi="宋体" w:eastAsia="宋体" w:cs="宋体"/>
          <w:color w:val="auto"/>
          <w:sz w:val="24"/>
          <w:szCs w:val="21"/>
          <w:highlight w:val="none"/>
          <w:lang w:val="en-US" w:eastAsia="zh-CN"/>
        </w:rPr>
      </w:pPr>
      <w:r>
        <w:rPr>
          <w:rFonts w:hint="eastAsia" w:ascii="宋体" w:hAnsi="宋体" w:cs="宋体"/>
          <w:color w:val="auto"/>
          <w:sz w:val="24"/>
          <w:szCs w:val="21"/>
          <w:highlight w:val="none"/>
          <w:lang w:val="en-US" w:eastAsia="zh-CN"/>
        </w:rPr>
        <w:t xml:space="preserve"> </w:t>
      </w:r>
    </w:p>
    <w:p>
      <w:pPr>
        <w:autoSpaceDE w:val="0"/>
        <w:autoSpaceDN w:val="0"/>
        <w:adjustRightInd w:val="0"/>
        <w:rPr>
          <w:rFonts w:hint="eastAsia" w:ascii="宋体" w:hAnsi="宋体" w:eastAsia="宋体" w:cs="宋体"/>
          <w:color w:val="auto"/>
          <w:sz w:val="24"/>
          <w:szCs w:val="21"/>
          <w:highlight w:val="none"/>
          <w:lang w:val="zh-CN"/>
        </w:rPr>
      </w:pPr>
    </w:p>
    <w:p>
      <w:pPr>
        <w:rPr>
          <w:rFonts w:hint="eastAsia"/>
          <w:highlight w:val="none"/>
        </w:rPr>
      </w:pPr>
    </w:p>
    <w:p>
      <w:pPr>
        <w:pStyle w:val="17"/>
        <w:ind w:left="0" w:leftChars="0" w:firstLine="1484" w:firstLineChars="440"/>
        <w:rPr>
          <w:rFonts w:hint="eastAsia" w:ascii="宋体" w:hAnsi="宋体" w:eastAsia="宋体" w:cs="宋体"/>
          <w:b/>
          <w:color w:val="auto"/>
          <w:spacing w:val="8"/>
          <w:sz w:val="32"/>
          <w:szCs w:val="30"/>
          <w:highlight w:val="none"/>
        </w:rPr>
      </w:pPr>
    </w:p>
    <w:p>
      <w:pPr>
        <w:pStyle w:val="17"/>
        <w:ind w:left="0" w:leftChars="0" w:firstLine="1484" w:firstLineChars="440"/>
        <w:rPr>
          <w:rFonts w:hint="eastAsia" w:ascii="宋体" w:hAnsi="宋体" w:eastAsia="宋体" w:cs="宋体"/>
          <w:b/>
          <w:color w:val="auto"/>
          <w:spacing w:val="8"/>
          <w:sz w:val="32"/>
          <w:szCs w:val="30"/>
          <w:highlight w:val="none"/>
          <w:lang w:eastAsia="zh-CN"/>
        </w:rPr>
      </w:pPr>
      <w:r>
        <w:rPr>
          <w:rFonts w:hint="eastAsia" w:ascii="宋体" w:hAnsi="宋体" w:eastAsia="宋体" w:cs="宋体"/>
          <w:b/>
          <w:color w:val="auto"/>
          <w:spacing w:val="8"/>
          <w:sz w:val="32"/>
          <w:szCs w:val="30"/>
          <w:highlight w:val="none"/>
        </w:rPr>
        <w:t>采 购 人：</w:t>
      </w:r>
      <w:r>
        <w:rPr>
          <w:rFonts w:hint="eastAsia" w:hAnsi="宋体" w:cs="宋体"/>
          <w:b/>
          <w:color w:val="auto"/>
          <w:spacing w:val="8"/>
          <w:sz w:val="32"/>
          <w:szCs w:val="30"/>
          <w:highlight w:val="none"/>
          <w:lang w:eastAsia="zh-CN"/>
        </w:rPr>
        <w:t>秦皇岛市民政局</w:t>
      </w:r>
    </w:p>
    <w:p>
      <w:pPr>
        <w:pStyle w:val="17"/>
        <w:ind w:left="0" w:leftChars="0" w:firstLine="1484" w:firstLineChars="440"/>
        <w:rPr>
          <w:rFonts w:hint="eastAsia" w:ascii="宋体" w:hAnsi="宋体" w:eastAsia="宋体" w:cs="宋体"/>
          <w:b/>
          <w:color w:val="auto"/>
          <w:spacing w:val="8"/>
          <w:sz w:val="32"/>
          <w:szCs w:val="30"/>
          <w:highlight w:val="none"/>
          <w:lang w:eastAsia="zh-CN"/>
        </w:rPr>
      </w:pPr>
      <w:r>
        <w:rPr>
          <w:rFonts w:hint="eastAsia" w:ascii="宋体" w:hAnsi="宋体" w:eastAsia="宋体" w:cs="宋体"/>
          <w:b/>
          <w:color w:val="auto"/>
          <w:spacing w:val="8"/>
          <w:sz w:val="32"/>
          <w:szCs w:val="30"/>
          <w:highlight w:val="none"/>
        </w:rPr>
        <w:t>代理单位：</w:t>
      </w:r>
      <w:r>
        <w:rPr>
          <w:rFonts w:hint="eastAsia" w:hAnsi="宋体" w:cs="宋体"/>
          <w:b/>
          <w:color w:val="auto"/>
          <w:spacing w:val="8"/>
          <w:sz w:val="32"/>
          <w:szCs w:val="30"/>
          <w:highlight w:val="none"/>
          <w:lang w:eastAsia="zh-CN"/>
        </w:rPr>
        <w:t>河北可誉工程项目管理有限公司</w:t>
      </w:r>
    </w:p>
    <w:p>
      <w:pPr>
        <w:pStyle w:val="17"/>
        <w:ind w:left="0" w:leftChars="0" w:firstLine="1484" w:firstLineChars="440"/>
        <w:rPr>
          <w:rFonts w:hint="eastAsia" w:ascii="宋体" w:hAnsi="宋体" w:eastAsia="宋体" w:cs="宋体"/>
          <w:color w:val="auto"/>
          <w:sz w:val="34"/>
          <w:szCs w:val="32"/>
          <w:highlight w:val="none"/>
        </w:rPr>
      </w:pPr>
      <w:r>
        <w:rPr>
          <w:rFonts w:hint="eastAsia" w:ascii="宋体" w:hAnsi="宋体" w:eastAsia="宋体" w:cs="宋体"/>
          <w:b/>
          <w:color w:val="auto"/>
          <w:spacing w:val="8"/>
          <w:sz w:val="32"/>
          <w:szCs w:val="30"/>
          <w:highlight w:val="none"/>
        </w:rPr>
        <w:t>编制日期：2</w:t>
      </w:r>
      <w:r>
        <w:rPr>
          <w:rFonts w:hint="eastAsia" w:ascii="宋体" w:hAnsi="宋体" w:eastAsia="宋体" w:cs="宋体"/>
          <w:b/>
          <w:color w:val="auto"/>
          <w:sz w:val="32"/>
          <w:szCs w:val="30"/>
          <w:highlight w:val="none"/>
        </w:rPr>
        <w:t>0</w:t>
      </w:r>
      <w:r>
        <w:rPr>
          <w:rFonts w:hint="eastAsia" w:ascii="宋体" w:hAnsi="宋体" w:eastAsia="宋体" w:cs="宋体"/>
          <w:b/>
          <w:color w:val="auto"/>
          <w:sz w:val="32"/>
          <w:szCs w:val="30"/>
          <w:highlight w:val="none"/>
          <w:lang w:val="en-US" w:eastAsia="zh-CN"/>
        </w:rPr>
        <w:t>2</w:t>
      </w:r>
      <w:r>
        <w:rPr>
          <w:rFonts w:hint="eastAsia" w:hAnsi="宋体" w:cs="宋体"/>
          <w:b/>
          <w:color w:val="auto"/>
          <w:sz w:val="32"/>
          <w:szCs w:val="30"/>
          <w:highlight w:val="none"/>
          <w:lang w:val="en-US" w:eastAsia="zh-CN"/>
        </w:rPr>
        <w:t>3</w:t>
      </w:r>
      <w:r>
        <w:rPr>
          <w:rFonts w:hint="eastAsia" w:ascii="宋体" w:hAnsi="宋体" w:eastAsia="宋体" w:cs="宋体"/>
          <w:b/>
          <w:color w:val="auto"/>
          <w:sz w:val="32"/>
          <w:szCs w:val="30"/>
          <w:highlight w:val="none"/>
        </w:rPr>
        <w:t>年</w:t>
      </w:r>
      <w:r>
        <w:rPr>
          <w:rFonts w:hint="eastAsia" w:hAnsi="宋体" w:cs="宋体"/>
          <w:b/>
          <w:color w:val="auto"/>
          <w:sz w:val="32"/>
          <w:szCs w:val="30"/>
          <w:highlight w:val="none"/>
          <w:lang w:val="en-US" w:eastAsia="zh-CN"/>
        </w:rPr>
        <w:t>07</w:t>
      </w:r>
      <w:r>
        <w:rPr>
          <w:rFonts w:hint="eastAsia" w:ascii="宋体" w:hAnsi="宋体" w:eastAsia="宋体" w:cs="宋体"/>
          <w:b/>
          <w:color w:val="auto"/>
          <w:sz w:val="32"/>
          <w:szCs w:val="30"/>
          <w:highlight w:val="none"/>
        </w:rPr>
        <w:t>月</w:t>
      </w:r>
    </w:p>
    <w:p>
      <w:pPr>
        <w:jc w:val="center"/>
        <w:rPr>
          <w:rFonts w:hint="eastAsia" w:ascii="宋体" w:hAnsi="宋体" w:eastAsia="宋体" w:cs="宋体"/>
          <w:color w:val="auto"/>
          <w:sz w:val="32"/>
          <w:szCs w:val="32"/>
          <w:highlight w:val="none"/>
        </w:rPr>
        <w:sectPr>
          <w:headerReference r:id="rId3" w:type="default"/>
          <w:footerReference r:id="rId4" w:type="default"/>
          <w:pgSz w:w="11906" w:h="16838"/>
          <w:pgMar w:top="0" w:right="1274" w:bottom="992" w:left="1276" w:header="1071" w:footer="992" w:gutter="0"/>
          <w:pgNumType w:fmt="decimal"/>
          <w:cols w:space="720" w:num="1"/>
          <w:docGrid w:type="lines" w:linePitch="312" w:charSpace="0"/>
        </w:sectPr>
      </w:pPr>
    </w:p>
    <w:p>
      <w:pPr>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目  录</w:t>
      </w:r>
    </w:p>
    <w:p>
      <w:pPr>
        <w:jc w:val="center"/>
        <w:rPr>
          <w:rFonts w:hint="eastAsia" w:ascii="宋体" w:hAnsi="宋体" w:eastAsia="宋体" w:cs="宋体"/>
          <w:color w:val="auto"/>
          <w:sz w:val="40"/>
          <w:szCs w:val="40"/>
          <w:highlight w:val="none"/>
        </w:rPr>
      </w:pPr>
    </w:p>
    <w:p>
      <w:pPr>
        <w:pStyle w:val="21"/>
        <w:tabs>
          <w:tab w:val="right" w:leader="dot" w:pos="9628"/>
        </w:tabs>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第一部分　商 务 部 分</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p>
    <w:p>
      <w:pPr>
        <w:keepNext w:val="0"/>
        <w:keepLines w:val="0"/>
        <w:pageBreakBefore w:val="0"/>
        <w:widowControl w:val="0"/>
        <w:numPr>
          <w:ilvl w:val="0"/>
          <w:numId w:val="1"/>
        </w:numPr>
        <w:kinsoku/>
        <w:wordWrap/>
        <w:overflowPunct/>
        <w:topLinePunct w:val="0"/>
        <w:autoSpaceDE w:val="0"/>
        <w:autoSpaceDN w:val="0"/>
        <w:bidi w:val="0"/>
        <w:adjustRightInd/>
        <w:snapToGrid/>
        <w:spacing w:before="240" w:line="360" w:lineRule="auto"/>
        <w:ind w:left="0" w:leftChars="0" w:right="0" w:rightChars="0" w:firstLine="0" w:firstLineChars="0"/>
        <w:textAlignment w:val="auto"/>
        <w:rPr>
          <w:rFonts w:hint="eastAsia" w:ascii="宋体" w:hAnsi="宋体" w:eastAsia="宋体" w:cs="宋体"/>
          <w:bCs/>
          <w:color w:val="auto"/>
          <w:spacing w:val="8"/>
          <w:sz w:val="32"/>
          <w:szCs w:val="32"/>
          <w:highlight w:val="none"/>
        </w:rPr>
      </w:pPr>
      <w:r>
        <w:rPr>
          <w:rFonts w:hint="eastAsia" w:ascii="宋体" w:hAnsi="宋体" w:eastAsia="宋体" w:cs="宋体"/>
          <w:bCs/>
          <w:color w:val="auto"/>
          <w:spacing w:val="8"/>
          <w:sz w:val="32"/>
          <w:szCs w:val="32"/>
          <w:highlight w:val="none"/>
        </w:rPr>
        <w:t xml:space="preserve"> 磋商邀请</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240" w:line="360" w:lineRule="auto"/>
        <w:ind w:left="0" w:leftChars="0" w:right="0" w:rightChars="0" w:firstLine="0" w:firstLineChars="0"/>
        <w:textAlignment w:val="auto"/>
        <w:rPr>
          <w:rFonts w:hint="eastAsia" w:ascii="宋体" w:hAnsi="宋体" w:eastAsia="宋体" w:cs="宋体"/>
          <w:bCs/>
          <w:color w:val="auto"/>
          <w:spacing w:val="8"/>
          <w:sz w:val="32"/>
          <w:szCs w:val="32"/>
          <w:highlight w:val="none"/>
        </w:rPr>
      </w:pPr>
      <w:r>
        <w:rPr>
          <w:rFonts w:hint="eastAsia" w:ascii="宋体" w:hAnsi="宋体" w:eastAsia="宋体" w:cs="宋体"/>
          <w:bCs/>
          <w:color w:val="auto"/>
          <w:spacing w:val="8"/>
          <w:sz w:val="32"/>
          <w:szCs w:val="32"/>
          <w:highlight w:val="none"/>
        </w:rPr>
        <w:t xml:space="preserve"> 磋商须知</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240" w:line="360" w:lineRule="auto"/>
        <w:ind w:left="0" w:leftChars="0" w:right="0" w:rightChars="0" w:firstLine="0" w:firstLineChars="0"/>
        <w:textAlignment w:val="auto"/>
        <w:rPr>
          <w:rFonts w:hint="eastAsia" w:ascii="宋体" w:hAnsi="宋体" w:eastAsia="宋体" w:cs="宋体"/>
          <w:bCs/>
          <w:color w:val="auto"/>
          <w:spacing w:val="8"/>
          <w:sz w:val="32"/>
          <w:szCs w:val="32"/>
          <w:highlight w:val="none"/>
        </w:rPr>
      </w:pPr>
      <w:r>
        <w:rPr>
          <w:rFonts w:hint="eastAsia" w:ascii="宋体" w:hAnsi="宋体" w:eastAsia="宋体" w:cs="宋体"/>
          <w:bCs/>
          <w:color w:val="auto"/>
          <w:spacing w:val="8"/>
          <w:sz w:val="32"/>
          <w:szCs w:val="32"/>
          <w:highlight w:val="none"/>
        </w:rPr>
        <w:t xml:space="preserve"> 评审办法及标准</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240" w:line="360" w:lineRule="auto"/>
        <w:ind w:left="0" w:leftChars="0" w:right="0" w:rightChars="0" w:firstLine="0" w:firstLineChars="0"/>
        <w:textAlignment w:val="auto"/>
        <w:rPr>
          <w:rFonts w:hint="eastAsia" w:ascii="宋体" w:hAnsi="宋体" w:eastAsia="宋体" w:cs="宋体"/>
          <w:bCs/>
          <w:color w:val="auto"/>
          <w:spacing w:val="8"/>
          <w:sz w:val="32"/>
          <w:szCs w:val="32"/>
          <w:highlight w:val="none"/>
        </w:rPr>
      </w:pPr>
      <w:r>
        <w:rPr>
          <w:rFonts w:hint="eastAsia" w:ascii="宋体" w:hAnsi="宋体" w:eastAsia="宋体" w:cs="宋体"/>
          <w:bCs/>
          <w:color w:val="auto"/>
          <w:spacing w:val="8"/>
          <w:sz w:val="32"/>
          <w:szCs w:val="32"/>
          <w:highlight w:val="none"/>
        </w:rPr>
        <w:t xml:space="preserve"> 政府采购合同</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240" w:line="360" w:lineRule="auto"/>
        <w:ind w:left="0" w:leftChars="0" w:right="0" w:rightChars="0" w:firstLine="0" w:firstLineChars="0"/>
        <w:textAlignment w:val="auto"/>
        <w:rPr>
          <w:rFonts w:hint="eastAsia" w:ascii="宋体" w:hAnsi="宋体" w:eastAsia="宋体" w:cs="宋体"/>
          <w:bCs/>
          <w:color w:val="auto"/>
          <w:spacing w:val="8"/>
          <w:sz w:val="32"/>
          <w:szCs w:val="32"/>
          <w:highlight w:val="none"/>
        </w:rPr>
      </w:pPr>
      <w:r>
        <w:rPr>
          <w:rFonts w:hint="eastAsia" w:ascii="宋体" w:hAnsi="宋体" w:eastAsia="宋体" w:cs="宋体"/>
          <w:bCs/>
          <w:color w:val="auto"/>
          <w:spacing w:val="8"/>
          <w:sz w:val="32"/>
          <w:szCs w:val="32"/>
          <w:highlight w:val="none"/>
        </w:rPr>
        <w:t xml:space="preserve"> 响应文件组成</w:t>
      </w:r>
    </w:p>
    <w:p>
      <w:pPr>
        <w:pStyle w:val="21"/>
        <w:tabs>
          <w:tab w:val="right" w:leader="dot" w:pos="9628"/>
        </w:tabs>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第二部分  技 术 部 分</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240" w:line="360" w:lineRule="auto"/>
        <w:ind w:left="0" w:leftChars="0" w:right="0" w:rightChars="0" w:firstLine="0" w:firstLineChars="0"/>
        <w:textAlignment w:val="auto"/>
        <w:rPr>
          <w:rFonts w:hint="eastAsia" w:ascii="宋体" w:hAnsi="宋体" w:eastAsia="宋体" w:cs="宋体"/>
          <w:bCs/>
          <w:color w:val="auto"/>
          <w:spacing w:val="8"/>
          <w:sz w:val="32"/>
          <w:szCs w:val="32"/>
          <w:highlight w:val="none"/>
        </w:rPr>
      </w:pPr>
      <w:r>
        <w:rPr>
          <w:rFonts w:hint="eastAsia" w:ascii="宋体" w:hAnsi="宋体" w:eastAsia="宋体" w:cs="宋体"/>
          <w:bCs/>
          <w:color w:val="auto"/>
          <w:spacing w:val="8"/>
          <w:sz w:val="32"/>
          <w:szCs w:val="32"/>
          <w:highlight w:val="none"/>
        </w:rPr>
        <w:t>项 目 需 求</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240" w:line="360" w:lineRule="auto"/>
        <w:ind w:left="0" w:leftChars="0" w:right="0" w:rightChars="0" w:firstLine="0" w:firstLineChars="0"/>
        <w:textAlignment w:val="auto"/>
        <w:rPr>
          <w:rFonts w:hint="eastAsia" w:ascii="宋体" w:hAnsi="宋体" w:eastAsia="宋体" w:cs="宋体"/>
          <w:bCs/>
          <w:color w:val="auto"/>
          <w:spacing w:val="8"/>
          <w:sz w:val="32"/>
          <w:szCs w:val="32"/>
          <w:highlight w:val="none"/>
        </w:rPr>
        <w:sectPr>
          <w:footerReference r:id="rId5" w:type="default"/>
          <w:pgSz w:w="11910" w:h="16840"/>
          <w:pgMar w:top="1417" w:right="1417" w:bottom="1417" w:left="1417" w:header="0" w:footer="1120" w:gutter="0"/>
          <w:pgNumType w:start="1"/>
          <w:cols w:equalWidth="0" w:num="1">
            <w:col w:w="10670"/>
          </w:cols>
          <w:rtlGutter w:val="0"/>
          <w:docGrid w:linePitch="0" w:charSpace="0"/>
        </w:sectPr>
      </w:pP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fldChar w:fldCharType="end"/>
      </w:r>
      <w:bookmarkStart w:id="0" w:name="_Toc430278430"/>
      <w:r>
        <w:rPr>
          <w:rFonts w:hint="eastAsia" w:ascii="宋体" w:hAnsi="宋体" w:eastAsia="宋体" w:cs="宋体"/>
          <w:b/>
          <w:bCs/>
          <w:color w:val="auto"/>
          <w:sz w:val="32"/>
          <w:szCs w:val="32"/>
          <w:highlight w:val="none"/>
        </w:rPr>
        <w:t xml:space="preserve">第一部分 </w:t>
      </w:r>
      <w:bookmarkEnd w:id="0"/>
      <w:r>
        <w:rPr>
          <w:rFonts w:hint="eastAsia" w:ascii="宋体" w:hAnsi="宋体" w:eastAsia="宋体" w:cs="宋体"/>
          <w:b/>
          <w:bCs/>
          <w:color w:val="auto"/>
          <w:sz w:val="32"/>
          <w:szCs w:val="32"/>
          <w:highlight w:val="none"/>
        </w:rPr>
        <w:t xml:space="preserve"> 商务部分</w:t>
      </w:r>
    </w:p>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第一章</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磋商邀请</w:t>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2023年度康复辅助器具社区租赁服务</w:t>
      </w: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rPr>
        <w:t>竞争性磋商</w:t>
      </w:r>
      <w:r>
        <w:rPr>
          <w:rFonts w:hint="eastAsia" w:ascii="宋体" w:hAnsi="宋体" w:eastAsia="宋体" w:cs="宋体"/>
          <w:b/>
          <w:bCs/>
          <w:color w:val="auto"/>
          <w:sz w:val="30"/>
          <w:szCs w:val="30"/>
          <w:highlight w:val="none"/>
          <w:lang w:val="en-US" w:eastAsia="zh-CN"/>
        </w:rPr>
        <w:t>公告</w:t>
      </w:r>
    </w:p>
    <w:p>
      <w:pPr>
        <w:pStyle w:val="17"/>
        <w:spacing w:line="360" w:lineRule="auto"/>
        <w:ind w:firstLine="482" w:firstLineChars="200"/>
        <w:rPr>
          <w:rFonts w:hint="eastAsia" w:ascii="宋体" w:hAnsi="宋体" w:eastAsia="宋体" w:cs="宋体"/>
          <w:b/>
          <w:color w:val="auto"/>
          <w:sz w:val="24"/>
          <w:szCs w:val="24"/>
          <w:highlight w:val="none"/>
        </w:rPr>
      </w:pPr>
      <w:bookmarkStart w:id="1" w:name="_Toc14175"/>
      <w:bookmarkStart w:id="2" w:name="_Toc430278432"/>
      <w:r>
        <w:rPr>
          <w:rFonts w:hint="eastAsia" w:ascii="宋体" w:hAnsi="宋体" w:eastAsia="宋体" w:cs="宋体"/>
          <w:b/>
          <w:color w:val="auto"/>
          <w:sz w:val="24"/>
          <w:szCs w:val="24"/>
          <w:highlight w:val="none"/>
        </w:rPr>
        <w:t>一、项目基本情况</w:t>
      </w:r>
      <w:bookmarkEnd w:id="1"/>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项目编号：Z1303002303422301</w:t>
      </w:r>
    </w:p>
    <w:p>
      <w:pPr>
        <w:pStyle w:val="17"/>
        <w:spacing w:line="360" w:lineRule="auto"/>
        <w:ind w:firstLine="480" w:firstLineChars="200"/>
        <w:rPr>
          <w:rFonts w:hint="eastAsia" w:hAnsi="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2023年度康复辅助器具社区租赁服务</w:t>
      </w:r>
    </w:p>
    <w:p>
      <w:pPr>
        <w:pStyle w:val="17"/>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hAnsi="宋体" w:cs="宋体"/>
          <w:color w:val="auto"/>
          <w:sz w:val="24"/>
          <w:szCs w:val="24"/>
          <w:highlight w:val="none"/>
          <w:lang w:val="en-US" w:eastAsia="zh-CN"/>
        </w:rPr>
        <w:t>1000000元</w:t>
      </w:r>
      <w:r>
        <w:rPr>
          <w:rFonts w:hint="eastAsia" w:ascii="宋体" w:hAnsi="宋体" w:eastAsia="宋体" w:cs="宋体"/>
          <w:color w:val="auto"/>
          <w:sz w:val="24"/>
          <w:szCs w:val="24"/>
          <w:highlight w:val="none"/>
          <w:lang w:val="en-US" w:eastAsia="zh-CN"/>
        </w:rPr>
        <w:t>；</w:t>
      </w:r>
    </w:p>
    <w:p>
      <w:pPr>
        <w:pStyle w:val="17"/>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hAnsi="宋体" w:cs="宋体"/>
          <w:color w:val="auto"/>
          <w:sz w:val="24"/>
          <w:szCs w:val="24"/>
          <w:highlight w:val="none"/>
          <w:lang w:val="en-US" w:eastAsia="zh-CN"/>
        </w:rPr>
        <w:t>1000000元</w:t>
      </w:r>
      <w:r>
        <w:rPr>
          <w:rFonts w:hint="eastAsia" w:ascii="宋体" w:hAnsi="宋体" w:eastAsia="宋体" w:cs="宋体"/>
          <w:color w:val="auto"/>
          <w:sz w:val="24"/>
          <w:szCs w:val="24"/>
          <w:highlight w:val="none"/>
          <w:lang w:val="en-US" w:eastAsia="zh-CN"/>
        </w:rPr>
        <w:t>；</w:t>
      </w:r>
    </w:p>
    <w:p>
      <w:pPr>
        <w:pStyle w:val="17"/>
        <w:spacing w:line="360" w:lineRule="auto"/>
        <w:ind w:firstLine="480" w:firstLineChars="200"/>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rPr>
        <w:t>采购内容：</w:t>
      </w:r>
      <w:r>
        <w:rPr>
          <w:rFonts w:hint="eastAsia" w:ascii="宋体" w:hAnsi="宋体" w:eastAsia="宋体" w:cs="宋体"/>
          <w:color w:val="auto"/>
          <w:sz w:val="24"/>
          <w:szCs w:val="24"/>
          <w:highlight w:val="none"/>
          <w:lang w:eastAsia="zh-CN"/>
        </w:rPr>
        <w:t>按竞争性磋商文件要求完成本项目全部内容</w:t>
      </w:r>
      <w:r>
        <w:rPr>
          <w:rFonts w:hint="eastAsia" w:hAnsi="宋体" w:cs="宋体"/>
          <w:color w:val="auto"/>
          <w:sz w:val="24"/>
          <w:szCs w:val="24"/>
          <w:highlight w:val="none"/>
          <w:lang w:eastAsia="zh-CN"/>
        </w:rPr>
        <w:t>。</w:t>
      </w:r>
    </w:p>
    <w:p>
      <w:pPr>
        <w:pStyle w:val="17"/>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服务</w:t>
      </w:r>
      <w:r>
        <w:rPr>
          <w:rFonts w:hint="eastAsia" w:ascii="宋体" w:hAnsi="宋体" w:eastAsia="宋体" w:cs="宋体"/>
          <w:color w:val="auto"/>
          <w:sz w:val="24"/>
          <w:szCs w:val="24"/>
          <w:highlight w:val="none"/>
          <w:u w:val="none"/>
          <w:lang w:val="en-US" w:eastAsia="zh-CN"/>
        </w:rPr>
        <w:t>期：</w:t>
      </w:r>
      <w:bookmarkStart w:id="3" w:name="_Toc6141"/>
      <w:r>
        <w:rPr>
          <w:rFonts w:hint="eastAsia" w:hAnsi="宋体" w:cs="宋体"/>
          <w:color w:val="auto"/>
          <w:sz w:val="24"/>
          <w:szCs w:val="24"/>
          <w:highlight w:val="none"/>
          <w:u w:val="none"/>
          <w:lang w:val="en-US" w:eastAsia="zh-CN"/>
        </w:rPr>
        <w:t>6个月</w:t>
      </w:r>
    </w:p>
    <w:p>
      <w:pPr>
        <w:pStyle w:val="17"/>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bookmarkEnd w:id="3"/>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pPr>
        <w:pStyle w:val="17"/>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3.本项目的特定资格要求：无。</w:t>
      </w:r>
    </w:p>
    <w:p>
      <w:pPr>
        <w:pStyle w:val="17"/>
        <w:spacing w:line="360" w:lineRule="auto"/>
        <w:ind w:firstLine="480" w:firstLineChars="200"/>
        <w:rPr>
          <w:rFonts w:hint="eastAsia" w:ascii="宋体" w:hAnsi="宋体" w:eastAsia="宋体" w:cs="宋体"/>
          <w:b w:val="0"/>
          <w:bCs/>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rPr>
        <w:t>本项目不接受联合体。</w:t>
      </w:r>
    </w:p>
    <w:p>
      <w:pPr>
        <w:pStyle w:val="17"/>
        <w:spacing w:line="360" w:lineRule="auto"/>
        <w:ind w:firstLine="482" w:firstLineChars="200"/>
        <w:rPr>
          <w:rFonts w:hint="eastAsia" w:ascii="宋体" w:hAnsi="宋体" w:eastAsia="宋体" w:cs="宋体"/>
          <w:b/>
          <w:color w:val="auto"/>
          <w:sz w:val="24"/>
          <w:szCs w:val="24"/>
          <w:highlight w:val="none"/>
        </w:rPr>
      </w:pPr>
      <w:bookmarkStart w:id="4" w:name="_Toc16472"/>
      <w:r>
        <w:rPr>
          <w:rFonts w:hint="eastAsia" w:ascii="宋体" w:hAnsi="宋体" w:eastAsia="宋体" w:cs="宋体"/>
          <w:b/>
          <w:color w:val="auto"/>
          <w:sz w:val="24"/>
          <w:szCs w:val="24"/>
          <w:highlight w:val="none"/>
        </w:rPr>
        <w:t>三、获取采购文件</w:t>
      </w:r>
      <w:bookmarkEnd w:id="4"/>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日，每天上午</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12:00，下午1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:00</w:t>
      </w:r>
      <w:r>
        <w:rPr>
          <w:rFonts w:hint="eastAsia" w:hAnsi="宋体" w:cs="宋体"/>
          <w:color w:val="auto"/>
          <w:sz w:val="24"/>
          <w:szCs w:val="24"/>
          <w:highlight w:val="none"/>
          <w:lang w:val="en-US" w:eastAsia="zh-CN"/>
        </w:rPr>
        <w:t>-24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地点：有意向的供应商请登录《秦皇岛市公共资源交易网》（新版本）进行网上报名，下载竞争性磋商文件及相关资料。</w:t>
      </w:r>
    </w:p>
    <w:p>
      <w:pPr>
        <w:pStyle w:val="17"/>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获取采购文件方式：已在河北省公共资源交易平台注册登记的供应商可直接通过秦皇岛市公共资源交易平台报名获取文件，各市场主体登录系统后，可通过地图选择“秦皇岛市公共资源交易平台”，打开到【文件下载】菜单中下载</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可参考“秦皇岛市公共资源交易网（网址：https://www.qhdggzy.cn）”秦皇岛首页&gt;办事指南&gt;交易响应方&gt;操作手册栏目中的《秦皇岛市公共资源交易平台投标人操作手册》。未经主体注册登记的供应商，请按照“《关于在秦皇岛市公共资源交易平台市场主体信息登记注册认证的通知》（网址：https://www.qhdggzy.cn/ggzyjyw/notice_info.do?fid=8a6998ca66a3ef1b016705ec2c52000e&amp;regionCode=130301）”的要求携带相关材料到秦皇岛市公共资源交易中心受理大厅（秦皇岛市公共资源交易中心（</w:t>
      </w:r>
      <w:r>
        <w:rPr>
          <w:rFonts w:hint="eastAsia" w:hAnsi="宋体" w:cs="宋体"/>
          <w:color w:val="auto"/>
          <w:sz w:val="24"/>
          <w:szCs w:val="24"/>
          <w:highlight w:val="none"/>
          <w:lang w:val="en-US" w:eastAsia="zh-CN"/>
        </w:rPr>
        <w:t>海港区红旗路233号政务服务大厦四层</w:t>
      </w:r>
      <w:r>
        <w:rPr>
          <w:rFonts w:hint="eastAsia" w:ascii="宋体" w:hAnsi="宋体" w:eastAsia="宋体" w:cs="宋体"/>
          <w:color w:val="auto"/>
          <w:sz w:val="24"/>
          <w:szCs w:val="24"/>
          <w:highlight w:val="none"/>
        </w:rPr>
        <w:t>）完成注册，具体事宜可联系0335-3602218。技术支持电话：</w:t>
      </w:r>
      <w:r>
        <w:rPr>
          <w:rFonts w:hint="eastAsia" w:ascii="宋体" w:hAnsi="宋体" w:eastAsia="宋体" w:cs="宋体"/>
          <w:color w:val="auto"/>
          <w:sz w:val="24"/>
          <w:szCs w:val="24"/>
          <w:highlight w:val="none"/>
          <w:lang w:val="en-US" w:eastAsia="zh-CN"/>
        </w:rPr>
        <w:t>4009980000</w:t>
      </w:r>
    </w:p>
    <w:p>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pPr>
        <w:pStyle w:val="17"/>
        <w:spacing w:line="360" w:lineRule="auto"/>
        <w:ind w:firstLine="482" w:firstLineChars="200"/>
        <w:rPr>
          <w:rFonts w:hint="eastAsia" w:ascii="宋体" w:hAnsi="宋体" w:eastAsia="宋体" w:cs="宋体"/>
          <w:b/>
          <w:bCs/>
          <w:color w:val="auto"/>
          <w:sz w:val="24"/>
          <w:szCs w:val="24"/>
          <w:highlight w:val="none"/>
        </w:rPr>
      </w:pPr>
      <w:bookmarkStart w:id="5" w:name="_Toc1171"/>
      <w:r>
        <w:rPr>
          <w:rFonts w:hint="eastAsia" w:ascii="宋体" w:hAnsi="宋体" w:eastAsia="宋体" w:cs="宋体"/>
          <w:b/>
          <w:bCs/>
          <w:color w:val="auto"/>
          <w:sz w:val="24"/>
          <w:szCs w:val="24"/>
          <w:highlight w:val="none"/>
        </w:rPr>
        <w:t>四、响应文件提交</w:t>
      </w:r>
      <w:bookmarkEnd w:id="5"/>
    </w:p>
    <w:p>
      <w:pPr>
        <w:pStyle w:val="1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hAnsi="宋体" w:cs="宋体"/>
          <w:color w:val="auto"/>
          <w:sz w:val="24"/>
          <w:szCs w:val="24"/>
          <w:highlight w:val="none"/>
          <w:u w:val="single"/>
          <w:lang w:eastAsia="zh-CN"/>
        </w:rPr>
        <w:t>202</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lang w:eastAsia="zh-CN"/>
        </w:rPr>
        <w:t>年</w:t>
      </w:r>
      <w:r>
        <w:rPr>
          <w:rFonts w:hint="eastAsia" w:hAnsi="宋体" w:cs="宋体"/>
          <w:color w:val="auto"/>
          <w:sz w:val="24"/>
          <w:szCs w:val="24"/>
          <w:highlight w:val="none"/>
          <w:u w:val="single"/>
          <w:lang w:val="en-US" w:eastAsia="zh-CN"/>
        </w:rPr>
        <w:t>7</w:t>
      </w:r>
      <w:r>
        <w:rPr>
          <w:rFonts w:hint="eastAsia" w:hAnsi="宋体" w:cs="宋体"/>
          <w:color w:val="auto"/>
          <w:sz w:val="24"/>
          <w:szCs w:val="24"/>
          <w:highlight w:val="none"/>
          <w:u w:val="single"/>
          <w:lang w:eastAsia="zh-CN"/>
        </w:rPr>
        <w:t>月</w:t>
      </w:r>
      <w:r>
        <w:rPr>
          <w:rFonts w:hint="eastAsia" w:hAnsi="宋体" w:cs="宋体"/>
          <w:color w:val="auto"/>
          <w:sz w:val="24"/>
          <w:szCs w:val="24"/>
          <w:highlight w:val="none"/>
          <w:u w:val="single"/>
          <w:lang w:val="en-US" w:eastAsia="zh-CN"/>
        </w:rPr>
        <w:t>24</w:t>
      </w:r>
      <w:r>
        <w:rPr>
          <w:rFonts w:hint="eastAsia" w:hAnsi="宋体" w:cs="宋体"/>
          <w:color w:val="auto"/>
          <w:sz w:val="24"/>
          <w:szCs w:val="24"/>
          <w:highlight w:val="none"/>
          <w:u w:val="single"/>
          <w:lang w:eastAsia="zh-CN"/>
        </w:rPr>
        <w:t>日</w:t>
      </w:r>
      <w:r>
        <w:rPr>
          <w:rFonts w:hint="eastAsia" w:hAnsi="宋体" w:cs="宋体"/>
          <w:color w:val="auto"/>
          <w:sz w:val="24"/>
          <w:szCs w:val="24"/>
          <w:highlight w:val="none"/>
          <w:u w:val="single"/>
          <w:lang w:val="en-US" w:eastAsia="zh-CN"/>
        </w:rPr>
        <w:t>14</w:t>
      </w:r>
      <w:r>
        <w:rPr>
          <w:rFonts w:hint="eastAsia" w:hAnsi="宋体" w:cs="宋体"/>
          <w:color w:val="auto"/>
          <w:sz w:val="24"/>
          <w:szCs w:val="24"/>
          <w:highlight w:val="none"/>
          <w:u w:val="single"/>
          <w:lang w:eastAsia="zh-CN"/>
        </w:rPr>
        <w:t>时</w:t>
      </w:r>
      <w:r>
        <w:rPr>
          <w:rFonts w:hint="eastAsia" w:hAnsi="宋体" w:cs="宋体"/>
          <w:color w:val="auto"/>
          <w:sz w:val="24"/>
          <w:szCs w:val="24"/>
          <w:highlight w:val="none"/>
          <w:u w:val="single"/>
          <w:lang w:val="en-US" w:eastAsia="zh-CN"/>
        </w:rPr>
        <w:t>40</w:t>
      </w:r>
      <w:r>
        <w:rPr>
          <w:rFonts w:hint="eastAsia" w:hAnsi="宋体" w:cs="宋体"/>
          <w:color w:val="auto"/>
          <w:sz w:val="24"/>
          <w:szCs w:val="24"/>
          <w:highlight w:val="none"/>
          <w:u w:val="single"/>
          <w:lang w:eastAsia="zh-CN"/>
        </w:rPr>
        <w:t>分（北京时间）</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地点：秦皇岛市公共资源交易中心（</w:t>
      </w:r>
      <w:r>
        <w:rPr>
          <w:rFonts w:hint="eastAsia" w:hAnsi="宋体" w:cs="宋体"/>
          <w:color w:val="auto"/>
          <w:sz w:val="24"/>
          <w:szCs w:val="24"/>
          <w:highlight w:val="none"/>
          <w:lang w:val="en-US" w:eastAsia="zh-CN"/>
        </w:rPr>
        <w:t>海港区红旗路233号政务服务大厦四层开</w:t>
      </w:r>
      <w:r>
        <w:rPr>
          <w:rFonts w:hint="eastAsia" w:ascii="宋体" w:hAnsi="宋体" w:eastAsia="宋体" w:cs="宋体"/>
          <w:color w:val="auto"/>
          <w:sz w:val="24"/>
          <w:szCs w:val="24"/>
          <w:highlight w:val="none"/>
        </w:rPr>
        <w:t>标厅</w:t>
      </w:r>
      <w:r>
        <w:rPr>
          <w:rFonts w:hint="eastAsia" w:hAnsi="宋体" w:cs="宋体"/>
          <w:color w:val="auto"/>
          <w:sz w:val="24"/>
          <w:szCs w:val="24"/>
          <w:highlight w:val="none"/>
          <w:lang w:eastAsia="zh-CN"/>
        </w:rPr>
        <w:t>）</w:t>
      </w:r>
    </w:p>
    <w:p>
      <w:pPr>
        <w:pStyle w:val="17"/>
        <w:spacing w:line="360" w:lineRule="auto"/>
        <w:ind w:firstLine="482" w:firstLineChars="200"/>
        <w:rPr>
          <w:rFonts w:hint="eastAsia" w:ascii="宋体" w:hAnsi="宋体" w:eastAsia="宋体" w:cs="宋体"/>
          <w:b/>
          <w:bCs/>
          <w:color w:val="auto"/>
          <w:sz w:val="24"/>
          <w:szCs w:val="24"/>
          <w:highlight w:val="none"/>
        </w:rPr>
      </w:pPr>
      <w:bookmarkStart w:id="6" w:name="_Toc27691"/>
      <w:r>
        <w:rPr>
          <w:rFonts w:hint="eastAsia" w:ascii="宋体" w:hAnsi="宋体" w:eastAsia="宋体" w:cs="宋体"/>
          <w:b/>
          <w:bCs/>
          <w:color w:val="auto"/>
          <w:sz w:val="24"/>
          <w:szCs w:val="24"/>
          <w:highlight w:val="none"/>
        </w:rPr>
        <w:t>五、开启</w:t>
      </w:r>
      <w:bookmarkEnd w:id="6"/>
    </w:p>
    <w:p>
      <w:pPr>
        <w:pStyle w:val="1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hAnsi="宋体" w:cs="宋体"/>
          <w:color w:val="auto"/>
          <w:sz w:val="24"/>
          <w:szCs w:val="24"/>
          <w:highlight w:val="none"/>
          <w:u w:val="single"/>
          <w:lang w:eastAsia="zh-CN"/>
        </w:rPr>
        <w:t>202</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lang w:eastAsia="zh-CN"/>
        </w:rPr>
        <w:t>年</w:t>
      </w:r>
      <w:r>
        <w:rPr>
          <w:rFonts w:hint="eastAsia" w:hAnsi="宋体" w:cs="宋体"/>
          <w:color w:val="auto"/>
          <w:sz w:val="24"/>
          <w:szCs w:val="24"/>
          <w:highlight w:val="none"/>
          <w:u w:val="single"/>
          <w:lang w:val="en-US" w:eastAsia="zh-CN"/>
        </w:rPr>
        <w:t>7</w:t>
      </w:r>
      <w:r>
        <w:rPr>
          <w:rFonts w:hint="eastAsia" w:hAnsi="宋体" w:cs="宋体"/>
          <w:color w:val="auto"/>
          <w:sz w:val="24"/>
          <w:szCs w:val="24"/>
          <w:highlight w:val="none"/>
          <w:u w:val="single"/>
          <w:lang w:eastAsia="zh-CN"/>
        </w:rPr>
        <w:t>月</w:t>
      </w:r>
      <w:r>
        <w:rPr>
          <w:rFonts w:hint="eastAsia" w:hAnsi="宋体" w:cs="宋体"/>
          <w:color w:val="auto"/>
          <w:sz w:val="24"/>
          <w:szCs w:val="24"/>
          <w:highlight w:val="none"/>
          <w:u w:val="single"/>
          <w:lang w:val="en-US" w:eastAsia="zh-CN"/>
        </w:rPr>
        <w:t>24</w:t>
      </w:r>
      <w:r>
        <w:rPr>
          <w:rFonts w:hint="eastAsia" w:hAnsi="宋体" w:cs="宋体"/>
          <w:color w:val="auto"/>
          <w:sz w:val="24"/>
          <w:szCs w:val="24"/>
          <w:highlight w:val="none"/>
          <w:u w:val="single"/>
          <w:lang w:eastAsia="zh-CN"/>
        </w:rPr>
        <w:t>日</w:t>
      </w:r>
      <w:r>
        <w:rPr>
          <w:rFonts w:hint="eastAsia" w:hAnsi="宋体" w:cs="宋体"/>
          <w:color w:val="auto"/>
          <w:sz w:val="24"/>
          <w:szCs w:val="24"/>
          <w:highlight w:val="none"/>
          <w:u w:val="single"/>
          <w:lang w:val="en-US" w:eastAsia="zh-CN"/>
        </w:rPr>
        <w:t>14</w:t>
      </w:r>
      <w:r>
        <w:rPr>
          <w:rFonts w:hint="eastAsia" w:hAnsi="宋体" w:cs="宋体"/>
          <w:color w:val="auto"/>
          <w:sz w:val="24"/>
          <w:szCs w:val="24"/>
          <w:highlight w:val="none"/>
          <w:u w:val="single"/>
          <w:lang w:eastAsia="zh-CN"/>
        </w:rPr>
        <w:t>时</w:t>
      </w:r>
      <w:r>
        <w:rPr>
          <w:rFonts w:hint="eastAsia" w:hAnsi="宋体" w:cs="宋体"/>
          <w:color w:val="auto"/>
          <w:sz w:val="24"/>
          <w:szCs w:val="24"/>
          <w:highlight w:val="none"/>
          <w:u w:val="single"/>
          <w:lang w:val="en-US" w:eastAsia="zh-CN"/>
        </w:rPr>
        <w:t>40</w:t>
      </w:r>
      <w:r>
        <w:rPr>
          <w:rFonts w:hint="eastAsia" w:hAnsi="宋体" w:cs="宋体"/>
          <w:color w:val="auto"/>
          <w:sz w:val="24"/>
          <w:szCs w:val="24"/>
          <w:highlight w:val="none"/>
          <w:u w:val="single"/>
          <w:lang w:eastAsia="zh-CN"/>
        </w:rPr>
        <w:t>分（北京时间）</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地点：秦皇岛市公共资源交易中心（</w:t>
      </w:r>
      <w:r>
        <w:rPr>
          <w:rFonts w:hint="eastAsia" w:hAnsi="宋体" w:cs="宋体"/>
          <w:color w:val="auto"/>
          <w:sz w:val="24"/>
          <w:szCs w:val="24"/>
          <w:highlight w:val="none"/>
          <w:lang w:val="en-US" w:eastAsia="zh-CN"/>
        </w:rPr>
        <w:t>海港区红旗路233号政务服务大厦四层</w:t>
      </w:r>
      <w:r>
        <w:rPr>
          <w:rFonts w:hint="eastAsia" w:ascii="宋体" w:hAnsi="宋体" w:eastAsia="宋体" w:cs="宋体"/>
          <w:color w:val="auto"/>
          <w:sz w:val="24"/>
          <w:szCs w:val="24"/>
          <w:highlight w:val="none"/>
        </w:rPr>
        <w:t>开标厅</w:t>
      </w:r>
      <w:r>
        <w:rPr>
          <w:rFonts w:hint="eastAsia" w:hAnsi="宋体" w:cs="宋体"/>
          <w:color w:val="auto"/>
          <w:sz w:val="24"/>
          <w:szCs w:val="24"/>
          <w:highlight w:val="none"/>
          <w:lang w:eastAsia="zh-CN"/>
        </w:rPr>
        <w:t>）</w:t>
      </w:r>
    </w:p>
    <w:p>
      <w:pPr>
        <w:pStyle w:val="17"/>
        <w:spacing w:line="360" w:lineRule="auto"/>
        <w:ind w:firstLine="482" w:firstLineChars="200"/>
        <w:rPr>
          <w:rFonts w:hint="eastAsia" w:ascii="宋体" w:hAnsi="宋体" w:eastAsia="宋体" w:cs="宋体"/>
          <w:b/>
          <w:bCs/>
          <w:color w:val="auto"/>
          <w:sz w:val="24"/>
          <w:szCs w:val="24"/>
          <w:highlight w:val="none"/>
        </w:rPr>
      </w:pPr>
      <w:bookmarkStart w:id="7" w:name="_Toc5116"/>
      <w:r>
        <w:rPr>
          <w:rFonts w:hint="eastAsia" w:ascii="宋体" w:hAnsi="宋体" w:eastAsia="宋体" w:cs="宋体"/>
          <w:b/>
          <w:bCs/>
          <w:color w:val="auto"/>
          <w:sz w:val="24"/>
          <w:szCs w:val="24"/>
          <w:highlight w:val="none"/>
        </w:rPr>
        <w:t>六、公告期限</w:t>
      </w:r>
      <w:bookmarkEnd w:id="7"/>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pPr>
        <w:pStyle w:val="17"/>
        <w:spacing w:line="360" w:lineRule="auto"/>
        <w:ind w:firstLine="482" w:firstLineChars="200"/>
        <w:rPr>
          <w:rFonts w:hint="eastAsia" w:ascii="宋体" w:hAnsi="宋体" w:eastAsia="宋体" w:cs="宋体"/>
          <w:b/>
          <w:bCs/>
          <w:color w:val="auto"/>
          <w:sz w:val="24"/>
          <w:szCs w:val="24"/>
          <w:highlight w:val="none"/>
        </w:rPr>
      </w:pPr>
      <w:bookmarkStart w:id="8" w:name="_Toc20082"/>
      <w:r>
        <w:rPr>
          <w:rFonts w:hint="eastAsia" w:ascii="宋体" w:hAnsi="宋体" w:eastAsia="宋体" w:cs="宋体"/>
          <w:b/>
          <w:bCs/>
          <w:color w:val="auto"/>
          <w:sz w:val="24"/>
          <w:szCs w:val="24"/>
          <w:highlight w:val="none"/>
        </w:rPr>
        <w:t>七、其他补充事宜</w:t>
      </w:r>
      <w:bookmarkEnd w:id="8"/>
    </w:p>
    <w:p>
      <w:pPr>
        <w:pStyle w:val="17"/>
        <w:spacing w:line="360" w:lineRule="auto"/>
        <w:ind w:firstLine="480" w:firstLineChars="200"/>
        <w:rPr>
          <w:rFonts w:hint="eastAsia" w:ascii="宋体" w:hAnsi="宋体" w:eastAsia="宋体" w:cs="宋体"/>
          <w:b w:val="0"/>
          <w:bCs w:val="0"/>
          <w:color w:val="auto"/>
          <w:sz w:val="24"/>
          <w:szCs w:val="24"/>
          <w:highlight w:val="none"/>
        </w:rPr>
      </w:pPr>
      <w:bookmarkStart w:id="9" w:name="_Toc24645"/>
      <w:r>
        <w:rPr>
          <w:rFonts w:hint="eastAsia" w:ascii="宋体" w:hAnsi="宋体" w:eastAsia="宋体" w:cs="宋体"/>
          <w:b w:val="0"/>
          <w:bCs w:val="0"/>
          <w:color w:val="auto"/>
          <w:sz w:val="24"/>
          <w:szCs w:val="24"/>
          <w:highlight w:val="none"/>
        </w:rPr>
        <w:t>（1）本项目采用不见面开标形式，投标单位无需到现场。</w:t>
      </w:r>
    </w:p>
    <w:p>
      <w:pPr>
        <w:pStyle w:val="17"/>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（2）有意向的投标人请登录《河北省公共资源交易网（平台） (http://www.hebpr.gov.cn/index.html)进行网上注册，用户注册成功后，登录《河北省公共资源交易公共服务平台》（http://publicservice.hebpr.gov.cn/PublicService），选择“秦皇岛市”进行网上报名。具体事宜可联系 0335-3602218。技术服务电话：4009980000。</w:t>
      </w:r>
    </w:p>
    <w:p>
      <w:pPr>
        <w:pStyle w:val="17"/>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（3）本公告发布媒体：中国河北政府采购网、中国政府采购网、秦皇岛市公共资源交易网。</w:t>
      </w:r>
    </w:p>
    <w:p>
      <w:pPr>
        <w:pStyle w:val="17"/>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bookmarkEnd w:id="9"/>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pStyle w:val="17"/>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none"/>
        </w:rPr>
        <w:t>　</w:t>
      </w:r>
      <w:r>
        <w:rPr>
          <w:rFonts w:hint="eastAsia" w:hAnsi="宋体" w:cs="宋体"/>
          <w:color w:val="auto"/>
          <w:sz w:val="24"/>
          <w:szCs w:val="24"/>
          <w:highlight w:val="none"/>
          <w:u w:val="none"/>
          <w:lang w:eastAsia="zh-CN"/>
        </w:rPr>
        <w:t>秦皇岛市民政局</w:t>
      </w:r>
      <w:r>
        <w:rPr>
          <w:rFonts w:hint="eastAsia" w:ascii="宋体" w:hAnsi="宋体" w:eastAsia="宋体" w:cs="宋体"/>
          <w:color w:val="auto"/>
          <w:sz w:val="24"/>
          <w:szCs w:val="24"/>
          <w:highlight w:val="none"/>
          <w:u w:val="none"/>
        </w:rPr>
        <w:t>　　</w:t>
      </w:r>
    </w:p>
    <w:p>
      <w:pPr>
        <w:pStyle w:val="17"/>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　</w:t>
      </w:r>
      <w:r>
        <w:rPr>
          <w:rFonts w:hint="eastAsia" w:hAnsi="宋体" w:cs="宋体"/>
          <w:color w:val="auto"/>
          <w:sz w:val="24"/>
          <w:szCs w:val="24"/>
          <w:highlight w:val="none"/>
          <w:u w:val="none"/>
          <w:lang w:eastAsia="zh-CN"/>
        </w:rPr>
        <w:t>秦皇岛市海港区迎宾路92号民政大厦</w:t>
      </w:r>
    </w:p>
    <w:p>
      <w:pPr>
        <w:pStyle w:val="17"/>
        <w:spacing w:line="360" w:lineRule="auto"/>
        <w:ind w:firstLine="480" w:firstLineChars="200"/>
        <w:rPr>
          <w:rFonts w:hint="eastAsia"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w:t>
      </w:r>
      <w:r>
        <w:rPr>
          <w:rFonts w:hint="eastAsia"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系</w:t>
      </w:r>
      <w:r>
        <w:rPr>
          <w:rFonts w:hint="eastAsia" w:hAnsi="宋体" w:cs="宋体"/>
          <w:color w:val="auto"/>
          <w:sz w:val="24"/>
          <w:szCs w:val="24"/>
          <w:highlight w:val="none"/>
          <w:u w:val="none"/>
          <w:lang w:val="en-US" w:eastAsia="zh-CN"/>
        </w:rPr>
        <w:t xml:space="preserve"> 人</w:t>
      </w:r>
      <w:r>
        <w:rPr>
          <w:rFonts w:hint="eastAsia" w:ascii="宋体" w:hAnsi="宋体" w:eastAsia="宋体" w:cs="宋体"/>
          <w:color w:val="auto"/>
          <w:sz w:val="24"/>
          <w:szCs w:val="24"/>
          <w:highlight w:val="none"/>
          <w:u w:val="none"/>
        </w:rPr>
        <w:t>：</w:t>
      </w:r>
      <w:r>
        <w:rPr>
          <w:rFonts w:hint="eastAsia" w:hAnsi="宋体" w:cs="宋体"/>
          <w:color w:val="auto"/>
          <w:sz w:val="24"/>
          <w:szCs w:val="24"/>
          <w:highlight w:val="none"/>
          <w:u w:val="none"/>
          <w:lang w:val="en-US" w:eastAsia="zh-CN"/>
        </w:rPr>
        <w:t xml:space="preserve"> 左栗剑锋 </w:t>
      </w:r>
    </w:p>
    <w:p>
      <w:pPr>
        <w:pStyle w:val="17"/>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w:t>
      </w:r>
      <w:r>
        <w:rPr>
          <w:rFonts w:hint="eastAsia" w:hAnsi="宋体" w:cs="宋体"/>
          <w:color w:val="auto"/>
          <w:sz w:val="24"/>
          <w:szCs w:val="24"/>
          <w:highlight w:val="none"/>
          <w:u w:val="none"/>
          <w:lang w:val="en-US" w:eastAsia="zh-CN"/>
        </w:rPr>
        <w:t>人</w:t>
      </w:r>
      <w:r>
        <w:rPr>
          <w:rFonts w:hint="eastAsia" w:ascii="宋体" w:hAnsi="宋体" w:eastAsia="宋体" w:cs="宋体"/>
          <w:color w:val="auto"/>
          <w:sz w:val="24"/>
          <w:szCs w:val="24"/>
          <w:highlight w:val="none"/>
          <w:u w:val="none"/>
        </w:rPr>
        <w:t>方式：</w:t>
      </w:r>
      <w:r>
        <w:rPr>
          <w:rFonts w:hint="eastAsia" w:hAnsi="宋体" w:cs="宋体"/>
          <w:color w:val="auto"/>
          <w:sz w:val="24"/>
          <w:szCs w:val="24"/>
          <w:highlight w:val="none"/>
          <w:u w:val="none"/>
          <w:lang w:val="en-US" w:eastAsia="zh-CN"/>
        </w:rPr>
        <w:t xml:space="preserve"> 0335-3658021     </w:t>
      </w:r>
    </w:p>
    <w:p>
      <w:pPr>
        <w:pStyle w:val="17"/>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p>
    <w:p>
      <w:pPr>
        <w:pStyle w:val="17"/>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　</w:t>
      </w:r>
      <w:r>
        <w:rPr>
          <w:rFonts w:hint="eastAsia" w:hAnsi="宋体" w:cs="宋体"/>
          <w:color w:val="auto"/>
          <w:sz w:val="24"/>
          <w:szCs w:val="24"/>
          <w:highlight w:val="none"/>
          <w:u w:val="none"/>
          <w:lang w:eastAsia="zh-CN"/>
        </w:rPr>
        <w:t>河北可誉工程项目管理有限公司</w:t>
      </w:r>
    </w:p>
    <w:p>
      <w:pPr>
        <w:pStyle w:val="17"/>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　</w:t>
      </w:r>
      <w:r>
        <w:rPr>
          <w:rFonts w:hint="eastAsia" w:hAnsi="宋体" w:cs="宋体"/>
          <w:color w:val="auto"/>
          <w:sz w:val="24"/>
          <w:szCs w:val="24"/>
          <w:highlight w:val="none"/>
          <w:u w:val="none"/>
          <w:lang w:eastAsia="zh-CN"/>
        </w:rPr>
        <w:t>河北省秦皇岛市海港区阳光百度城东区15-1-502</w:t>
      </w:r>
    </w:p>
    <w:p>
      <w:pPr>
        <w:pStyle w:val="17"/>
        <w:spacing w:line="360" w:lineRule="auto"/>
        <w:ind w:firstLine="480" w:firstLineChars="200"/>
        <w:rPr>
          <w:rFonts w:hint="eastAsia"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　</w:t>
      </w:r>
      <w:r>
        <w:rPr>
          <w:rFonts w:hint="eastAsia" w:hAnsi="宋体" w:cs="宋体"/>
          <w:color w:val="auto"/>
          <w:sz w:val="24"/>
          <w:szCs w:val="24"/>
          <w:highlight w:val="none"/>
          <w:u w:val="none"/>
          <w:lang w:val="en-US" w:eastAsia="zh-CN"/>
        </w:rPr>
        <w:t>刘娜</w:t>
      </w:r>
      <w:r>
        <w:rPr>
          <w:rFonts w:hint="eastAsia" w:ascii="宋体" w:hAnsi="宋体" w:eastAsia="宋体" w:cs="宋体"/>
          <w:color w:val="auto"/>
          <w:sz w:val="24"/>
          <w:szCs w:val="24"/>
          <w:highlight w:val="none"/>
          <w:u w:val="none"/>
          <w:lang w:val="en-US" w:eastAsia="zh-CN"/>
        </w:rPr>
        <w:t>0335-</w:t>
      </w:r>
      <w:r>
        <w:rPr>
          <w:rFonts w:hint="eastAsia" w:hAnsi="宋体" w:cs="宋体"/>
          <w:color w:val="auto"/>
          <w:sz w:val="24"/>
          <w:szCs w:val="24"/>
          <w:highlight w:val="none"/>
          <w:u w:val="none"/>
          <w:lang w:val="en-US" w:eastAsia="zh-CN"/>
        </w:rPr>
        <w:t>3585999</w:t>
      </w:r>
    </w:p>
    <w:p>
      <w:pPr>
        <w:pStyle w:val="5"/>
        <w:jc w:val="center"/>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sz w:val="30"/>
          <w:szCs w:val="30"/>
          <w:highlight w:val="none"/>
        </w:rPr>
        <w:t>第二章</w:t>
      </w:r>
      <w:r>
        <w:rPr>
          <w:rFonts w:hint="eastAsia" w:ascii="宋体" w:hAnsi="宋体" w:eastAsia="宋体" w:cs="宋体"/>
          <w:color w:val="auto"/>
          <w:sz w:val="30"/>
          <w:szCs w:val="30"/>
          <w:highlight w:val="none"/>
          <w:lang w:eastAsia="zh-CN"/>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磋商须知</w:t>
      </w:r>
      <w:bookmarkEnd w:id="2"/>
    </w:p>
    <w:p>
      <w:pPr>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磋商须知前附表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66"/>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26" w:type="pct"/>
            <w:noWrap w:val="0"/>
            <w:vAlign w:val="center"/>
          </w:tcPr>
          <w:p>
            <w:pPr>
              <w:spacing w:line="35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96" w:type="pct"/>
            <w:noWrap w:val="0"/>
            <w:vAlign w:val="center"/>
          </w:tcPr>
          <w:p>
            <w:pPr>
              <w:spacing w:line="35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  称</w:t>
            </w:r>
          </w:p>
        </w:tc>
        <w:tc>
          <w:tcPr>
            <w:tcW w:w="3677" w:type="pct"/>
            <w:noWrap w:val="0"/>
            <w:vAlign w:val="center"/>
          </w:tcPr>
          <w:p>
            <w:pPr>
              <w:spacing w:line="35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26" w:type="pct"/>
            <w:vMerge w:val="restart"/>
            <w:noWrap w:val="0"/>
            <w:vAlign w:val="center"/>
          </w:tcPr>
          <w:p>
            <w:pPr>
              <w:spacing w:line="35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896" w:type="pct"/>
            <w:noWrap w:val="0"/>
            <w:vAlign w:val="center"/>
          </w:tcPr>
          <w:p>
            <w:pPr>
              <w:spacing w:line="35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采购项目</w:t>
            </w:r>
          </w:p>
        </w:tc>
        <w:tc>
          <w:tcPr>
            <w:tcW w:w="3677" w:type="pct"/>
            <w:noWrap w:val="0"/>
            <w:vAlign w:val="center"/>
          </w:tcPr>
          <w:p>
            <w:pPr>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2023年度康复辅助器具社区租赁服务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26" w:type="pct"/>
            <w:vMerge w:val="continue"/>
            <w:noWrap w:val="0"/>
            <w:vAlign w:val="center"/>
          </w:tcPr>
          <w:p>
            <w:pPr>
              <w:spacing w:line="350" w:lineRule="exact"/>
              <w:jc w:val="center"/>
              <w:rPr>
                <w:rFonts w:hint="eastAsia" w:ascii="宋体" w:hAnsi="宋体" w:eastAsia="宋体" w:cs="宋体"/>
                <w:b/>
                <w:color w:val="auto"/>
                <w:szCs w:val="21"/>
                <w:highlight w:val="none"/>
              </w:rPr>
            </w:pPr>
          </w:p>
        </w:tc>
        <w:tc>
          <w:tcPr>
            <w:tcW w:w="896" w:type="pct"/>
            <w:noWrap w:val="0"/>
            <w:vAlign w:val="center"/>
          </w:tcPr>
          <w:p>
            <w:pPr>
              <w:spacing w:line="35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采购预算</w:t>
            </w:r>
          </w:p>
        </w:tc>
        <w:tc>
          <w:tcPr>
            <w:tcW w:w="3677" w:type="pct"/>
            <w:noWrap w:val="0"/>
            <w:vAlign w:val="center"/>
          </w:tcPr>
          <w:p>
            <w:pPr>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26" w:type="pct"/>
            <w:noWrap w:val="0"/>
            <w:vAlign w:val="center"/>
          </w:tcPr>
          <w:p>
            <w:pPr>
              <w:spacing w:line="35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3677" w:type="pct"/>
            <w:noWrap w:val="0"/>
            <w:vAlign w:val="center"/>
          </w:tcPr>
          <w:p>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r>
              <w:rPr>
                <w:rFonts w:hint="eastAsia" w:ascii="宋体" w:hAnsi="宋体" w:cs="宋体"/>
                <w:color w:val="auto"/>
                <w:kern w:val="2"/>
                <w:sz w:val="21"/>
                <w:szCs w:val="21"/>
                <w:highlight w:val="none"/>
                <w:lang w:val="en-US" w:eastAsia="zh-CN"/>
              </w:rPr>
              <w:t>秦皇岛市民政局</w:t>
            </w:r>
          </w:p>
          <w:p>
            <w:pPr>
              <w:keepNext/>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地址：</w:t>
            </w:r>
            <w:r>
              <w:rPr>
                <w:rFonts w:hint="eastAsia" w:ascii="宋体" w:hAnsi="宋体" w:cs="宋体"/>
                <w:sz w:val="24"/>
                <w:highlight w:val="none"/>
                <w:lang w:val="en-US" w:eastAsia="zh-CN"/>
              </w:rPr>
              <w:t>秦皇岛市海港区迎宾路92号民政大厦</w:t>
            </w:r>
          </w:p>
          <w:p>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联系人：</w:t>
            </w:r>
            <w:r>
              <w:rPr>
                <w:rFonts w:hint="eastAsia" w:hAnsi="宋体" w:cs="宋体"/>
                <w:color w:val="auto"/>
                <w:sz w:val="21"/>
                <w:szCs w:val="21"/>
                <w:highlight w:val="none"/>
                <w:u w:val="none"/>
                <w:lang w:val="en-US" w:eastAsia="zh-CN"/>
              </w:rPr>
              <w:t>左栗剑锋</w:t>
            </w:r>
          </w:p>
          <w:p>
            <w:pPr>
              <w:keepNext/>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电  话： 0335-3658021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26" w:type="pct"/>
            <w:noWrap w:val="0"/>
            <w:vAlign w:val="center"/>
          </w:tcPr>
          <w:p>
            <w:pPr>
              <w:spacing w:line="35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3677" w:type="pct"/>
            <w:noWrap w:val="0"/>
            <w:vAlign w:val="center"/>
          </w:tcPr>
          <w:p>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r>
              <w:rPr>
                <w:rFonts w:hint="eastAsia" w:ascii="宋体" w:hAnsi="宋体" w:cs="宋体"/>
                <w:color w:val="auto"/>
                <w:kern w:val="2"/>
                <w:sz w:val="21"/>
                <w:szCs w:val="21"/>
                <w:highlight w:val="none"/>
                <w:lang w:val="en-US" w:eastAsia="zh-CN"/>
              </w:rPr>
              <w:t>河北可誉工程项目管理有限公司</w:t>
            </w:r>
          </w:p>
          <w:p>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地址：</w:t>
            </w:r>
            <w:r>
              <w:rPr>
                <w:rFonts w:hint="eastAsia" w:ascii="宋体" w:hAnsi="宋体" w:cs="宋体"/>
                <w:color w:val="auto"/>
                <w:kern w:val="2"/>
                <w:sz w:val="21"/>
                <w:szCs w:val="21"/>
                <w:highlight w:val="none"/>
                <w:lang w:val="en-US" w:eastAsia="zh-CN"/>
              </w:rPr>
              <w:t>河北省秦皇岛市海港区阳光百度城东区15-1-502</w:t>
            </w:r>
          </w:p>
          <w:p>
            <w:pPr>
              <w:keepNext/>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联 系 人：</w:t>
            </w:r>
            <w:r>
              <w:rPr>
                <w:rFonts w:hint="eastAsia" w:ascii="宋体" w:hAnsi="宋体" w:cs="宋体"/>
                <w:color w:val="auto"/>
                <w:kern w:val="2"/>
                <w:sz w:val="21"/>
                <w:szCs w:val="21"/>
                <w:highlight w:val="none"/>
                <w:lang w:val="en-US" w:eastAsia="zh-CN"/>
              </w:rPr>
              <w:t>刘娜</w:t>
            </w:r>
          </w:p>
          <w:p>
            <w:pPr>
              <w:keepNext/>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电　　话：0335-</w:t>
            </w:r>
            <w:r>
              <w:rPr>
                <w:rFonts w:hint="eastAsia" w:ascii="宋体" w:hAnsi="宋体" w:cs="宋体"/>
                <w:color w:val="auto"/>
                <w:kern w:val="2"/>
                <w:sz w:val="21"/>
                <w:szCs w:val="21"/>
                <w:highlight w:val="none"/>
                <w:lang w:val="en-US" w:eastAsia="zh-CN"/>
              </w:rPr>
              <w:t>3585999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6" w:type="pct"/>
            <w:noWrap w:val="0"/>
            <w:vAlign w:val="center"/>
          </w:tcPr>
          <w:p>
            <w:pPr>
              <w:spacing w:line="35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供应商产生方法</w:t>
            </w:r>
          </w:p>
        </w:tc>
        <w:tc>
          <w:tcPr>
            <w:tcW w:w="3677" w:type="pct"/>
            <w:noWrap w:val="0"/>
            <w:vAlign w:val="center"/>
          </w:tcPr>
          <w:p>
            <w:pPr>
              <w:spacing w:line="35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kern w:val="0"/>
                <w:szCs w:val="21"/>
                <w:highlight w:val="none"/>
              </w:rPr>
              <w:t>公告</w:t>
            </w:r>
          </w:p>
          <w:p>
            <w:pPr>
              <w:spacing w:line="35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供应商库抽取</w:t>
            </w:r>
          </w:p>
          <w:p>
            <w:pPr>
              <w:spacing w:line="35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□专家和采购人推荐</w:t>
            </w:r>
          </w:p>
          <w:p>
            <w:pPr>
              <w:spacing w:line="35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26" w:type="pct"/>
            <w:noWrap w:val="0"/>
            <w:vAlign w:val="center"/>
          </w:tcPr>
          <w:p>
            <w:pPr>
              <w:spacing w:line="35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w:t>
            </w:r>
          </w:p>
        </w:tc>
        <w:tc>
          <w:tcPr>
            <w:tcW w:w="3677" w:type="pct"/>
            <w:noWrap w:val="0"/>
            <w:vAlign w:val="center"/>
          </w:tcPr>
          <w:p>
            <w:pPr>
              <w:spacing w:line="35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同磋商公告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426" w:type="pct"/>
            <w:noWrap w:val="0"/>
            <w:vAlign w:val="center"/>
          </w:tcPr>
          <w:p>
            <w:pPr>
              <w:spacing w:line="35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6</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领取采购文件需提供的资料</w:t>
            </w:r>
          </w:p>
        </w:tc>
        <w:tc>
          <w:tcPr>
            <w:tcW w:w="3677"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26" w:type="pct"/>
            <w:noWrap w:val="0"/>
            <w:vAlign w:val="center"/>
          </w:tcPr>
          <w:p>
            <w:pPr>
              <w:spacing w:line="35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3677" w:type="pct"/>
            <w:noWrap w:val="0"/>
            <w:vAlign w:val="center"/>
          </w:tcPr>
          <w:p>
            <w:pPr>
              <w:pStyle w:val="17"/>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sym w:font="Wingdings 2" w:char="0052"/>
            </w:r>
            <w:r>
              <w:rPr>
                <w:rFonts w:hint="eastAsia" w:ascii="宋体" w:hAnsi="宋体" w:eastAsia="宋体" w:cs="宋体"/>
                <w:b/>
                <w:color w:val="auto"/>
                <w:sz w:val="24"/>
                <w:szCs w:val="24"/>
                <w:highlight w:val="none"/>
              </w:rPr>
              <w:t xml:space="preserve"> </w:t>
            </w:r>
            <w:r>
              <w:rPr>
                <w:rFonts w:hint="eastAsia" w:ascii="宋体" w:hAnsi="宋体" w:eastAsia="宋体" w:cs="宋体"/>
                <w:color w:val="auto"/>
                <w:highlight w:val="none"/>
              </w:rPr>
              <w:t>不接受</w:t>
            </w:r>
          </w:p>
          <w:p>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接受</w:t>
            </w:r>
          </w:p>
          <w:p>
            <w:pPr>
              <w:spacing w:line="35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26" w:type="pct"/>
            <w:noWrap w:val="0"/>
            <w:vAlign w:val="center"/>
          </w:tcPr>
          <w:p>
            <w:pPr>
              <w:spacing w:line="35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现场勘查</w:t>
            </w:r>
          </w:p>
        </w:tc>
        <w:tc>
          <w:tcPr>
            <w:tcW w:w="3677" w:type="pct"/>
            <w:noWrap w:val="0"/>
            <w:vAlign w:val="center"/>
          </w:tcPr>
          <w:p>
            <w:pPr>
              <w:pStyle w:val="17"/>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sym w:font="Wingdings 2" w:char="0052"/>
            </w:r>
            <w:r>
              <w:rPr>
                <w:rFonts w:hint="eastAsia" w:ascii="宋体" w:hAnsi="宋体" w:eastAsia="宋体" w:cs="宋体"/>
                <w:b/>
                <w:color w:val="auto"/>
                <w:sz w:val="24"/>
                <w:szCs w:val="24"/>
                <w:highlight w:val="none"/>
              </w:rPr>
              <w:t xml:space="preserve"> </w:t>
            </w:r>
            <w:r>
              <w:rPr>
                <w:rFonts w:hint="eastAsia" w:ascii="宋体" w:hAnsi="宋体" w:eastAsia="宋体" w:cs="宋体"/>
                <w:color w:val="auto"/>
                <w:highlight w:val="none"/>
              </w:rPr>
              <w:t>不组织</w:t>
            </w:r>
          </w:p>
          <w:p>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26" w:type="pct"/>
            <w:vMerge w:val="restart"/>
            <w:noWrap w:val="0"/>
            <w:vAlign w:val="center"/>
          </w:tcPr>
          <w:p>
            <w:pPr>
              <w:spacing w:line="35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w:t>
            </w:r>
          </w:p>
          <w:p>
            <w:pPr>
              <w:spacing w:line="350" w:lineRule="exact"/>
              <w:jc w:val="center"/>
              <w:rPr>
                <w:rFonts w:hint="eastAsia" w:ascii="宋体" w:hAnsi="宋体" w:eastAsia="宋体" w:cs="宋体"/>
                <w:b/>
                <w:bCs/>
                <w:color w:val="auto"/>
                <w:szCs w:val="21"/>
                <w:highlight w:val="none"/>
              </w:rPr>
            </w:pPr>
          </w:p>
        </w:tc>
        <w:tc>
          <w:tcPr>
            <w:tcW w:w="896" w:type="pct"/>
            <w:noWrap w:val="0"/>
            <w:vAlign w:val="center"/>
          </w:tcPr>
          <w:p>
            <w:pPr>
              <w:pStyle w:val="17"/>
              <w:ind w:left="0" w:leftChars="0" w:right="0" w:rightChars="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支持中小企业发展</w:t>
            </w:r>
          </w:p>
        </w:tc>
        <w:tc>
          <w:tcPr>
            <w:tcW w:w="3677" w:type="pct"/>
            <w:noWrap w:val="0"/>
            <w:vAlign w:val="center"/>
          </w:tcPr>
          <w:p>
            <w:pPr>
              <w:rPr>
                <w:highlight w:val="none"/>
                <w:shd w:val="clear" w:color="auto" w:fill="auto"/>
              </w:rPr>
            </w:pPr>
            <w:r>
              <w:rPr>
                <w:rFonts w:hint="eastAsia" w:ascii="宋体"/>
                <w:highlight w:val="none"/>
                <w:shd w:val="clear" w:color="auto" w:fill="auto"/>
              </w:rPr>
              <w:sym w:font="Wingdings 2" w:char="00A3"/>
            </w:r>
            <w:r>
              <w:rPr>
                <w:highlight w:val="none"/>
                <w:shd w:val="clear" w:color="auto" w:fill="auto"/>
              </w:rPr>
              <w:t>专门面向中小企业采购项目</w:t>
            </w:r>
          </w:p>
          <w:p>
            <w:pPr>
              <w:rPr>
                <w:highlight w:val="none"/>
                <w:shd w:val="clear" w:color="auto" w:fill="auto"/>
              </w:rPr>
            </w:pPr>
            <w:r>
              <w:rPr>
                <w:rFonts w:hint="eastAsia" w:ascii="宋体"/>
                <w:highlight w:val="none"/>
                <w:shd w:val="clear" w:color="auto" w:fill="auto"/>
              </w:rPr>
              <w:sym w:font="Wingdings 2" w:char="00A3"/>
            </w:r>
            <w:r>
              <w:rPr>
                <w:highlight w:val="none"/>
                <w:shd w:val="clear" w:color="auto" w:fill="auto"/>
              </w:rPr>
              <w:t>专门面向小微企业采购项目</w:t>
            </w:r>
          </w:p>
          <w:p>
            <w:pPr>
              <w:rPr>
                <w:highlight w:val="none"/>
                <w:shd w:val="clear" w:color="auto" w:fill="auto"/>
              </w:rPr>
            </w:pPr>
            <w:r>
              <w:rPr>
                <w:rFonts w:hint="eastAsia" w:ascii="宋体"/>
                <w:highlight w:val="none"/>
                <w:shd w:val="clear" w:color="auto" w:fill="auto"/>
                <w:lang w:eastAsia="zh-CN"/>
              </w:rPr>
              <w:t>☑</w:t>
            </w:r>
            <w:r>
              <w:rPr>
                <w:highlight w:val="none"/>
                <w:shd w:val="clear" w:color="auto" w:fill="auto"/>
              </w:rPr>
              <w:t>非专门面向中小企业采购项目。对小型和微型企业的报价给予</w:t>
            </w:r>
            <w:r>
              <w:rPr>
                <w:rFonts w:hint="eastAsia"/>
                <w:highlight w:val="none"/>
                <w:u w:val="single"/>
                <w:shd w:val="clear" w:color="auto" w:fill="auto"/>
                <w:lang w:val="en-US" w:eastAsia="zh-CN"/>
              </w:rPr>
              <w:t>10</w:t>
            </w:r>
            <w:r>
              <w:rPr>
                <w:highlight w:val="none"/>
                <w:shd w:val="clear" w:color="auto" w:fill="auto"/>
              </w:rPr>
              <w:t>%的扣除。（需提供中小企业声明函）（注：监狱企业、残疾人福利性单位视同小型、微型企业，享受促进中小企业发展的政策，以上三种企业不重复享受政策。）</w:t>
            </w:r>
          </w:p>
          <w:p>
            <w:pPr>
              <w:pStyle w:val="17"/>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本项目采购标的对应的中小企业划分标准所属行业为</w:t>
            </w:r>
            <w:r>
              <w:rPr>
                <w:rFonts w:hint="eastAsia" w:hAnsi="宋体" w:cs="宋体"/>
                <w:b/>
                <w:bCs w:val="0"/>
                <w:color w:val="auto"/>
                <w:sz w:val="21"/>
                <w:szCs w:val="21"/>
                <w:highlight w:val="none"/>
                <w:u w:val="single"/>
                <w:lang w:val="en-US" w:eastAsia="zh-CN"/>
              </w:rPr>
              <w:t>租赁和商务服务业</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26" w:type="pct"/>
            <w:vMerge w:val="continue"/>
            <w:noWrap w:val="0"/>
            <w:vAlign w:val="center"/>
          </w:tcPr>
          <w:p>
            <w:pPr>
              <w:spacing w:line="350" w:lineRule="exact"/>
              <w:jc w:val="center"/>
              <w:rPr>
                <w:rFonts w:hint="eastAsia" w:ascii="宋体" w:hAnsi="宋体" w:eastAsia="宋体" w:cs="宋体"/>
                <w:b/>
                <w:bCs/>
                <w:color w:val="auto"/>
                <w:szCs w:val="21"/>
                <w:highlight w:val="none"/>
              </w:rPr>
            </w:pPr>
          </w:p>
        </w:tc>
        <w:tc>
          <w:tcPr>
            <w:tcW w:w="896" w:type="pct"/>
            <w:noWrap w:val="0"/>
            <w:vAlign w:val="center"/>
          </w:tcPr>
          <w:p>
            <w:pPr>
              <w:spacing w:line="350" w:lineRule="exact"/>
              <w:rPr>
                <w:rFonts w:hint="eastAsia" w:ascii="宋体" w:hAnsi="宋体" w:eastAsia="宋体" w:cs="宋体"/>
                <w:color w:val="auto"/>
                <w:szCs w:val="21"/>
                <w:highlight w:val="none"/>
              </w:rPr>
            </w:pPr>
            <w:r>
              <w:rPr>
                <w:rFonts w:hAnsi="宋体" w:cs="宋体"/>
                <w:kern w:val="44"/>
                <w:highlight w:val="none"/>
                <w:lang w:val="en-US" w:eastAsia="zh-CN"/>
              </w:rPr>
              <w:t>鼓励残疾人福利性单位发展措施</w:t>
            </w:r>
          </w:p>
        </w:tc>
        <w:tc>
          <w:tcPr>
            <w:tcW w:w="3677" w:type="pct"/>
            <w:noWrap w:val="0"/>
            <w:vAlign w:val="center"/>
          </w:tcPr>
          <w:p>
            <w:pPr>
              <w:pStyle w:val="17"/>
              <w:ind w:left="0" w:leftChars="0" w:right="0" w:rightChars="0"/>
              <w:jc w:val="left"/>
              <w:rPr>
                <w:rFonts w:hint="eastAsia" w:ascii="宋体" w:hAnsi="宋体" w:eastAsia="宋体" w:cs="宋体"/>
                <w:color w:val="auto"/>
                <w:highlight w:val="none"/>
              </w:rPr>
            </w:pPr>
            <w:r>
              <w:rPr>
                <w:rFonts w:hAnsi="宋体" w:cs="宋体"/>
                <w:kern w:val="44"/>
                <w:highlight w:val="none"/>
                <w:lang w:val="en-US" w:eastAsia="zh-CN"/>
              </w:rPr>
              <w:t>根据《关于促进残疾人就业政府采购政策的通知》财库〔2017〕141号文件规定，对于被认定为享受政府采购支持政策的残疾人福利性单位，在政府采购活动中，残疾人福利性单位视同小型、微型企业，享受预留份额、评审中价格扣除等促进中小企业发展的政府采购政策，向残疾人福利单位采购的金额，计入面向中小企业采购的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26" w:type="pct"/>
            <w:vMerge w:val="continue"/>
            <w:noWrap w:val="0"/>
            <w:vAlign w:val="center"/>
          </w:tcPr>
          <w:p>
            <w:pPr>
              <w:spacing w:line="350" w:lineRule="exact"/>
              <w:jc w:val="center"/>
              <w:rPr>
                <w:rFonts w:hint="eastAsia" w:ascii="宋体" w:hAnsi="宋体" w:eastAsia="宋体" w:cs="宋体"/>
                <w:b/>
                <w:bCs/>
                <w:color w:val="auto"/>
                <w:szCs w:val="21"/>
                <w:highlight w:val="none"/>
              </w:rPr>
            </w:pPr>
          </w:p>
        </w:tc>
        <w:tc>
          <w:tcPr>
            <w:tcW w:w="896" w:type="pct"/>
            <w:noWrap w:val="0"/>
            <w:vAlign w:val="center"/>
          </w:tcPr>
          <w:p>
            <w:pPr>
              <w:spacing w:line="350" w:lineRule="exact"/>
              <w:rPr>
                <w:rFonts w:hAnsi="宋体" w:cs="宋体"/>
                <w:kern w:val="44"/>
                <w:highlight w:val="none"/>
                <w:lang w:val="en-US" w:eastAsia="zh-CN"/>
              </w:rPr>
            </w:pPr>
            <w:r>
              <w:rPr>
                <w:rFonts w:hAnsi="宋体" w:cs="宋体"/>
                <w:kern w:val="44"/>
                <w:highlight w:val="none"/>
                <w:lang w:val="en-US" w:eastAsia="zh-CN"/>
              </w:rPr>
              <w:t>鼓励监狱企业发展措施</w:t>
            </w:r>
          </w:p>
        </w:tc>
        <w:tc>
          <w:tcPr>
            <w:tcW w:w="3677" w:type="pct"/>
            <w:noWrap w:val="0"/>
            <w:vAlign w:val="center"/>
          </w:tcPr>
          <w:p>
            <w:pPr>
              <w:pStyle w:val="17"/>
              <w:ind w:left="0" w:leftChars="0" w:right="0" w:rightChars="0"/>
              <w:jc w:val="left"/>
              <w:rPr>
                <w:rFonts w:hAnsi="宋体" w:cs="宋体"/>
                <w:kern w:val="44"/>
                <w:highlight w:val="none"/>
                <w:lang w:val="en-US" w:eastAsia="zh-CN"/>
              </w:rPr>
            </w:pPr>
            <w:r>
              <w:rPr>
                <w:rFonts w:hAnsi="宋体" w:cs="宋体"/>
                <w:kern w:val="44"/>
                <w:highlight w:val="no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在政府采购活动中，监狱企业视同小型、微型企业，享受预留份额、评审中价格扣除等政府采购促进中小企业发展的政府采购政策。向监狱企业采购的金额，计入面向中小企业采购的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26" w:type="pct"/>
            <w:vMerge w:val="continue"/>
            <w:noWrap w:val="0"/>
            <w:vAlign w:val="center"/>
          </w:tcPr>
          <w:p>
            <w:pPr>
              <w:spacing w:line="350" w:lineRule="exact"/>
              <w:jc w:val="center"/>
              <w:rPr>
                <w:rFonts w:hint="eastAsia" w:ascii="宋体" w:hAnsi="宋体" w:eastAsia="宋体" w:cs="宋体"/>
                <w:b/>
                <w:bCs/>
                <w:color w:val="auto"/>
                <w:szCs w:val="21"/>
                <w:highlight w:val="none"/>
              </w:rPr>
            </w:pPr>
          </w:p>
        </w:tc>
        <w:tc>
          <w:tcPr>
            <w:tcW w:w="896" w:type="pct"/>
            <w:noWrap w:val="0"/>
            <w:vAlign w:val="center"/>
          </w:tcPr>
          <w:p>
            <w:pPr>
              <w:spacing w:line="35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政府采购强制采购：节能产品</w:t>
            </w:r>
          </w:p>
        </w:tc>
        <w:tc>
          <w:tcPr>
            <w:tcW w:w="3677" w:type="pct"/>
            <w:noWrap w:val="0"/>
            <w:vAlign w:val="center"/>
          </w:tcPr>
          <w:p>
            <w:pPr>
              <w:pStyle w:val="17"/>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highlight w:val="none"/>
              </w:rPr>
              <w:t>否</w:t>
            </w:r>
          </w:p>
          <w:p>
            <w:pPr>
              <w:pStyle w:val="17"/>
              <w:jc w:val="left"/>
              <w:rPr>
                <w:rFonts w:hint="eastAsia" w:ascii="宋体" w:hAnsi="宋体" w:eastAsia="宋体" w:cs="宋体"/>
                <w:color w:val="auto"/>
                <w:highlight w:val="none"/>
              </w:rPr>
            </w:pPr>
            <w:r>
              <w:rPr>
                <w:rFonts w:hint="eastAsia" w:ascii="宋体" w:hAnsi="宋体" w:eastAsia="宋体" w:cs="宋体"/>
                <w:color w:val="auto"/>
                <w:highlight w:val="none"/>
              </w:rPr>
              <w:t>□是，采购《节能产品政府采购清单》(第__期)内的产品</w:t>
            </w:r>
          </w:p>
          <w:p>
            <w:pPr>
              <w:pStyle w:val="17"/>
              <w:ind w:left="0" w:leftChars="0" w:right="0" w:rightChars="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招标货物中含政府强制采购节能产品的，必须符合国家财政部、发展改革委公布的《节能产品政府采购清单》最新一期及相关规定的要求，否则投标无效。《节能产品政府采购清单》在中华人民共和国财政部网站（http://www.mof.gov.cn）、中国政府采购网（http://www.ccgp.gov.cn）、国家发展改革委网站（http://www.ndrc.gov.cn）和中国质量认证中心网站（http://www.cqc.com.cn）上发布，请自行查阅、下载。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投标货物含有上述强制采购节能产品的，必须在</w:t>
            </w:r>
            <w:r>
              <w:rPr>
                <w:rFonts w:hint="eastAsia" w:hAnsi="宋体" w:cs="宋体"/>
                <w:color w:val="auto"/>
                <w:highlight w:val="none"/>
                <w:lang w:eastAsia="zh-CN"/>
              </w:rPr>
              <w:t>响应文件</w:t>
            </w:r>
            <w:r>
              <w:rPr>
                <w:rFonts w:hint="eastAsia" w:ascii="宋体" w:hAnsi="宋体" w:eastAsia="宋体" w:cs="宋体"/>
                <w:color w:val="auto"/>
                <w:highlight w:val="none"/>
              </w:rPr>
              <w:t>商务部分附加盖公章的节能产品证书</w:t>
            </w:r>
            <w:r>
              <w:rPr>
                <w:rFonts w:hint="eastAsia" w:ascii="宋体" w:hAnsi="宋体" w:eastAsia="宋体" w:cs="宋体"/>
                <w:color w:val="auto"/>
                <w:highlight w:val="none"/>
                <w:lang w:eastAsia="zh-CN"/>
              </w:rPr>
              <w:t>原件扫描件</w:t>
            </w:r>
            <w:r>
              <w:rPr>
                <w:rFonts w:hint="eastAsia" w:ascii="宋体" w:hAnsi="宋体" w:eastAsia="宋体" w:cs="宋体"/>
                <w:color w:val="auto"/>
                <w:highlight w:val="none"/>
              </w:rPr>
              <w:t>或打印出上述网站公布的含有投标货物的清单（只打印出投标货物所在页即可）并加盖公章，否则其投标无效。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26" w:type="pct"/>
            <w:vMerge w:val="continue"/>
            <w:noWrap w:val="0"/>
            <w:vAlign w:val="center"/>
          </w:tcPr>
          <w:p>
            <w:pPr>
              <w:spacing w:line="350" w:lineRule="exact"/>
              <w:jc w:val="center"/>
              <w:rPr>
                <w:rFonts w:hint="eastAsia" w:ascii="宋体" w:hAnsi="宋体" w:eastAsia="宋体" w:cs="宋体"/>
                <w:b/>
                <w:bCs/>
                <w:color w:val="auto"/>
                <w:szCs w:val="21"/>
                <w:highlight w:val="none"/>
              </w:rPr>
            </w:pPr>
          </w:p>
        </w:tc>
        <w:tc>
          <w:tcPr>
            <w:tcW w:w="896" w:type="pct"/>
            <w:noWrap w:val="0"/>
            <w:vAlign w:val="center"/>
          </w:tcPr>
          <w:p>
            <w:pPr>
              <w:pStyle w:val="17"/>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rPr>
              <w:t>政府采购优先采购：节能产品(非强制类)</w:t>
            </w:r>
          </w:p>
        </w:tc>
        <w:tc>
          <w:tcPr>
            <w:tcW w:w="3677" w:type="pct"/>
            <w:vMerge w:val="restart"/>
            <w:noWrap w:val="0"/>
            <w:vAlign w:val="center"/>
          </w:tcPr>
          <w:p>
            <w:pPr>
              <w:pStyle w:val="17"/>
              <w:ind w:left="0" w:leftChars="0" w:right="0" w:rightChars="0"/>
              <w:jc w:val="left"/>
              <w:rPr>
                <w:rFonts w:hint="eastAsia" w:ascii="宋体" w:hAnsi="宋体" w:eastAsia="宋体" w:cs="宋体"/>
                <w:color w:val="auto"/>
                <w:kern w:val="0"/>
                <w:szCs w:val="21"/>
                <w:highlight w:val="none"/>
                <w:u w:val="single"/>
              </w:rPr>
            </w:pPr>
            <w:r>
              <w:rPr>
                <w:rFonts w:hint="eastAsia" w:ascii="宋体" w:hAnsi="宋体" w:eastAsia="宋体" w:cs="宋体"/>
                <w:color w:val="auto"/>
                <w:highlight w:val="none"/>
              </w:rPr>
              <w:t>为推进和规范环境标志产品政府采购，对列入财政部、环境保护部最新一期环境标志产品政府采购清单产品为政府优先采购产品。对于同时列入环保清单和节能产品政府采购清单的产品，应当优先于只列入其中一个清单的产品。《环境标志产品政府采购清单》在中华人民共和国财政部网站（http://www.mof.gov.cn）、中国政府采购网（http://www.ccgp.gov.cn）、中华人民共和国环境保护部网站（http://www.zhb.gov.cn）、中国绿色采购网（http://www.cgpn.org）上发布，请自行查阅、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26" w:type="pct"/>
            <w:vMerge w:val="continue"/>
            <w:noWrap w:val="0"/>
            <w:vAlign w:val="center"/>
          </w:tcPr>
          <w:p>
            <w:pPr>
              <w:spacing w:line="350" w:lineRule="exact"/>
              <w:jc w:val="center"/>
              <w:rPr>
                <w:rFonts w:hint="eastAsia" w:ascii="宋体" w:hAnsi="宋体" w:eastAsia="宋体" w:cs="宋体"/>
                <w:b/>
                <w:bCs/>
                <w:color w:val="auto"/>
                <w:szCs w:val="21"/>
                <w:highlight w:val="none"/>
              </w:rPr>
            </w:pPr>
          </w:p>
        </w:tc>
        <w:tc>
          <w:tcPr>
            <w:tcW w:w="896" w:type="pct"/>
            <w:noWrap w:val="0"/>
            <w:vAlign w:val="center"/>
          </w:tcPr>
          <w:p>
            <w:pPr>
              <w:pStyle w:val="17"/>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rPr>
              <w:t>政府采购优先采购：</w:t>
            </w:r>
          </w:p>
          <w:p>
            <w:pPr>
              <w:pStyle w:val="17"/>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rPr>
              <w:t>环境标志产品</w:t>
            </w:r>
          </w:p>
        </w:tc>
        <w:tc>
          <w:tcPr>
            <w:tcW w:w="3677" w:type="pct"/>
            <w:vMerge w:val="continue"/>
            <w:noWrap w:val="0"/>
            <w:vAlign w:val="center"/>
          </w:tcPr>
          <w:p>
            <w:pPr>
              <w:pStyle w:val="17"/>
              <w:ind w:left="0" w:leftChars="0" w:right="0" w:rightChars="0"/>
              <w:jc w:val="left"/>
              <w:rPr>
                <w:rFonts w:hint="eastAsia" w:ascii="宋体" w:hAnsi="宋体" w:eastAsia="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426" w:type="pct"/>
            <w:noWrap w:val="0"/>
            <w:vAlign w:val="center"/>
          </w:tcPr>
          <w:p>
            <w:pPr>
              <w:spacing w:line="35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10</w:t>
            </w:r>
          </w:p>
        </w:tc>
        <w:tc>
          <w:tcPr>
            <w:tcW w:w="896" w:type="pct"/>
            <w:noWrap w:val="0"/>
            <w:vAlign w:val="center"/>
          </w:tcPr>
          <w:p>
            <w:pPr>
              <w:spacing w:line="35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★提交首次响应文件的截止时间和地点</w:t>
            </w:r>
          </w:p>
        </w:tc>
        <w:tc>
          <w:tcPr>
            <w:tcW w:w="3677"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的截</w:t>
            </w:r>
            <w:r>
              <w:rPr>
                <w:rFonts w:hint="eastAsia" w:ascii="宋体" w:hAnsi="宋体" w:eastAsia="宋体" w:cs="宋体"/>
                <w:color w:val="auto"/>
                <w:kern w:val="0"/>
                <w:sz w:val="21"/>
                <w:szCs w:val="21"/>
                <w:highlight w:val="none"/>
                <w:lang w:val="en-US" w:eastAsia="zh-CN" w:bidi="ar-SA"/>
              </w:rPr>
              <w:t>止时间</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时</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lang w:val="en-US" w:eastAsia="zh-CN"/>
              </w:rPr>
              <w:t>（北</w:t>
            </w:r>
            <w:r>
              <w:rPr>
                <w:rFonts w:hint="eastAsia" w:ascii="宋体" w:hAnsi="宋体" w:eastAsia="宋体" w:cs="宋体"/>
                <w:color w:val="auto"/>
                <w:szCs w:val="21"/>
                <w:highlight w:val="none"/>
              </w:rPr>
              <w:t>京时间）</w:t>
            </w:r>
          </w:p>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的地点：本项目为网上开标大厅交易方式的全流程电子开评标项目，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须在</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递交截止时间前制作并在系统中提交，相关说明详见</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须知前附表：</w:t>
            </w:r>
          </w:p>
          <w:p>
            <w:pPr>
              <w:spacing w:line="350" w:lineRule="exact"/>
              <w:rPr>
                <w:rFonts w:hint="eastAsia" w:ascii="宋体" w:hAnsi="宋体" w:eastAsia="宋体" w:cs="宋体"/>
                <w:color w:val="auto"/>
                <w:highlight w:val="none"/>
                <w:lang w:eastAsia="zh-CN"/>
              </w:rPr>
            </w:pPr>
            <w:r>
              <w:rPr>
                <w:rFonts w:hint="eastAsia" w:ascii="宋体" w:hAnsi="宋体" w:eastAsia="宋体" w:cs="宋体"/>
                <w:color w:val="auto"/>
                <w:kern w:val="2"/>
                <w:sz w:val="21"/>
                <w:highlight w:val="none"/>
                <w:lang w:val="en-US" w:eastAsia="zh-CN"/>
              </w:rPr>
              <w:t>加密的电子响应文件（*.QHDTF格式），应在文件领取开始时间至响应文件递交截止时间前通过秦皇岛公共资源交易网“【业务管理-投标文件上传】菜单”上传。</w:t>
            </w:r>
          </w:p>
          <w:p>
            <w:pPr>
              <w:spacing w:line="35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递交截止时间前制作并提交：</w:t>
            </w:r>
          </w:p>
          <w:p>
            <w:pPr>
              <w:spacing w:line="350" w:lineRule="exact"/>
              <w:rPr>
                <w:rFonts w:hint="eastAsia" w:ascii="宋体" w:hAnsi="宋体" w:eastAsia="宋体" w:cs="宋体"/>
                <w:color w:val="auto"/>
                <w:highlight w:val="none"/>
              </w:rPr>
            </w:pPr>
            <w:r>
              <w:rPr>
                <w:rFonts w:hint="eastAsia" w:ascii="宋体" w:hAnsi="宋体" w:eastAsia="宋体" w:cs="宋体"/>
                <w:color w:val="auto"/>
                <w:highlight w:val="none"/>
              </w:rPr>
              <w:t>加密的电子投标文件（*.QHDTF格式），应在文件领取开始时间至投标文件递交截止时间前通过“秦皇岛公共资源交易综合信息平台【业务管理-投标文件上传（电子）】菜单”上传；</w:t>
            </w:r>
          </w:p>
          <w:p>
            <w:pPr>
              <w:spacing w:line="350" w:lineRule="exact"/>
              <w:rPr>
                <w:rFonts w:hint="eastAsia" w:ascii="宋体" w:hAnsi="宋体" w:eastAsia="宋体" w:cs="宋体"/>
                <w:color w:val="auto"/>
                <w:highlight w:val="none"/>
              </w:rPr>
            </w:pPr>
            <w:r>
              <w:rPr>
                <w:rFonts w:hint="eastAsia" w:ascii="宋体" w:hAnsi="宋体" w:eastAsia="宋体" w:cs="宋体"/>
                <w:color w:val="auto"/>
                <w:highlight w:val="none"/>
              </w:rPr>
              <w:t>本项目将采用全流程电子交易无纸化开标评标，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提供的资格文件和业绩等所有资料均须以扫描件形式附在投标（响应）文件中，不再接收纸质投标（响应）文件及资料（包括非加密电子投标（响应）文件）。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26" w:type="pct"/>
            <w:noWrap w:val="0"/>
            <w:vAlign w:val="center"/>
          </w:tcPr>
          <w:p>
            <w:pPr>
              <w:spacing w:line="35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1</w:t>
            </w:r>
          </w:p>
        </w:tc>
        <w:tc>
          <w:tcPr>
            <w:tcW w:w="896" w:type="pct"/>
            <w:noWrap w:val="0"/>
            <w:vAlign w:val="center"/>
          </w:tcPr>
          <w:p>
            <w:pPr>
              <w:spacing w:line="35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澄清或者修改时间</w:t>
            </w:r>
          </w:p>
        </w:tc>
        <w:tc>
          <w:tcPr>
            <w:tcW w:w="3677" w:type="pct"/>
            <w:noWrap w:val="0"/>
            <w:vAlign w:val="center"/>
          </w:tcPr>
          <w:p>
            <w:pPr>
              <w:pStyle w:val="17"/>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kern w:val="2"/>
                <w:sz w:val="21"/>
                <w:highlight w:val="none"/>
                <w:lang w:val="en-US" w:eastAsia="zh-CN"/>
              </w:rPr>
              <w:t>供应商通过CA秘钥登录电子交易平台自行下载所参加项目的竞争性磋商文件及变更澄清文件（如有）。竞争性磋商文件格式为“*.QHDZF”，需使用“新点投标文件制作软件（河北公共资源版）”打开。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26" w:type="pct"/>
            <w:noWrap w:val="0"/>
            <w:vAlign w:val="center"/>
          </w:tcPr>
          <w:p>
            <w:pPr>
              <w:spacing w:line="35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highlight w:val="none"/>
              </w:rPr>
              <w:t>磋商保证金</w:t>
            </w:r>
          </w:p>
        </w:tc>
        <w:tc>
          <w:tcPr>
            <w:tcW w:w="3677" w:type="pct"/>
            <w:noWrap w:val="0"/>
            <w:vAlign w:val="center"/>
          </w:tcPr>
          <w:p>
            <w:pPr>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sym w:font="Wingdings 2" w:char="0052"/>
            </w:r>
            <w:r>
              <w:rPr>
                <w:rFonts w:hint="eastAsia" w:ascii="宋体" w:hAnsi="宋体" w:eastAsia="宋体" w:cs="宋体"/>
                <w:color w:val="auto"/>
                <w:kern w:val="2"/>
                <w:sz w:val="21"/>
                <w:szCs w:val="21"/>
                <w:highlight w:val="none"/>
                <w:lang w:val="en-US" w:eastAsia="zh-CN"/>
              </w:rPr>
              <w:t xml:space="preserve"> 不要求提供</w:t>
            </w:r>
          </w:p>
          <w:p>
            <w:pPr>
              <w:rPr>
                <w:rFonts w:hint="eastAsia" w:ascii="宋体" w:hAnsi="宋体" w:eastAsia="宋体" w:cs="宋体"/>
                <w:color w:val="auto"/>
                <w:szCs w:val="22"/>
                <w:highlight w:val="none"/>
              </w:rPr>
            </w:pPr>
            <w:r>
              <w:rPr>
                <w:rFonts w:hint="eastAsia"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26" w:type="pct"/>
            <w:noWrap w:val="0"/>
            <w:vAlign w:val="center"/>
          </w:tcPr>
          <w:p>
            <w:pPr>
              <w:spacing w:line="35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3</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磋商响应有效期</w:t>
            </w:r>
          </w:p>
        </w:tc>
        <w:tc>
          <w:tcPr>
            <w:tcW w:w="3677"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自递交响应文件截止时间起计算</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 w:type="pct"/>
            <w:noWrap w:val="0"/>
            <w:vAlign w:val="center"/>
          </w:tcPr>
          <w:p>
            <w:pPr>
              <w:spacing w:line="35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4</w:t>
            </w:r>
          </w:p>
        </w:tc>
        <w:tc>
          <w:tcPr>
            <w:tcW w:w="896" w:type="pct"/>
            <w:noWrap w:val="0"/>
            <w:vAlign w:val="center"/>
          </w:tcPr>
          <w:p>
            <w:pPr>
              <w:pStyle w:val="17"/>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履约保证金</w:t>
            </w:r>
          </w:p>
        </w:tc>
        <w:tc>
          <w:tcPr>
            <w:tcW w:w="3677" w:type="pct"/>
            <w:noWrap w:val="0"/>
            <w:vAlign w:val="center"/>
          </w:tcPr>
          <w:p>
            <w:pPr>
              <w:pStyle w:val="17"/>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rPr>
              <w:t>不要求提供</w:t>
            </w:r>
          </w:p>
          <w:p>
            <w:pPr>
              <w:pStyle w:val="17"/>
              <w:ind w:left="0" w:leftChars="0" w:right="0" w:rightChars="0"/>
              <w:jc w:val="left"/>
              <w:rPr>
                <w:rFonts w:hint="eastAsia" w:ascii="宋体" w:hAnsi="宋体" w:eastAsia="宋体" w:cs="宋体"/>
                <w:color w:val="auto"/>
                <w:szCs w:val="22"/>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要求提供，履约保证金的数额不得超过政府采购合同金额的10%，本采购项目履约保证金为合同金额的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%，提交方式为</w:t>
            </w:r>
            <w:r>
              <w:rPr>
                <w:rFonts w:hint="eastAsia" w:ascii="宋体" w:hAnsi="宋体" w:eastAsia="宋体" w:cs="宋体"/>
                <w:color w:val="auto"/>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26" w:type="pct"/>
            <w:noWrap w:val="0"/>
            <w:vAlign w:val="center"/>
          </w:tcPr>
          <w:p>
            <w:pPr>
              <w:spacing w:line="35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15</w:t>
            </w:r>
          </w:p>
        </w:tc>
        <w:tc>
          <w:tcPr>
            <w:tcW w:w="896" w:type="pct"/>
            <w:noWrap w:val="0"/>
            <w:vAlign w:val="center"/>
          </w:tcPr>
          <w:p>
            <w:pPr>
              <w:spacing w:line="35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资金来源，落实情况</w:t>
            </w:r>
          </w:p>
        </w:tc>
        <w:tc>
          <w:tcPr>
            <w:tcW w:w="3677" w:type="pct"/>
            <w:noWrap w:val="0"/>
            <w:vAlign w:val="center"/>
          </w:tcPr>
          <w:p>
            <w:pPr>
              <w:spacing w:line="350" w:lineRule="exact"/>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财政拨款，已落实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26" w:type="pct"/>
            <w:noWrap w:val="0"/>
            <w:vAlign w:val="center"/>
          </w:tcPr>
          <w:p>
            <w:pPr>
              <w:spacing w:line="35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6</w:t>
            </w:r>
          </w:p>
        </w:tc>
        <w:tc>
          <w:tcPr>
            <w:tcW w:w="896" w:type="pct"/>
            <w:noWrap w:val="0"/>
            <w:vAlign w:val="center"/>
          </w:tcPr>
          <w:p>
            <w:pPr>
              <w:keepNext/>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服务期限及服务标准</w:t>
            </w:r>
          </w:p>
        </w:tc>
        <w:tc>
          <w:tcPr>
            <w:tcW w:w="3677" w:type="pct"/>
            <w:noWrap w:val="0"/>
            <w:vAlign w:val="center"/>
          </w:tcPr>
          <w:p>
            <w:pPr>
              <w:pStyle w:val="17"/>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6个月，合格，达到国家及相关行业标准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26" w:type="pct"/>
            <w:noWrap w:val="0"/>
            <w:vAlign w:val="center"/>
          </w:tcPr>
          <w:p>
            <w:pPr>
              <w:spacing w:line="35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7</w:t>
            </w:r>
          </w:p>
        </w:tc>
        <w:tc>
          <w:tcPr>
            <w:tcW w:w="896" w:type="pct"/>
            <w:noWrap w:val="0"/>
            <w:vAlign w:val="center"/>
          </w:tcPr>
          <w:p>
            <w:pPr>
              <w:keepNext/>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签字或盖章要求</w:t>
            </w:r>
          </w:p>
        </w:tc>
        <w:tc>
          <w:tcPr>
            <w:tcW w:w="3677" w:type="pct"/>
            <w:noWrap w:val="0"/>
            <w:vAlign w:val="center"/>
          </w:tcPr>
          <w:p>
            <w:pPr>
              <w:keepNext/>
              <w:rPr>
                <w:rFonts w:hint="eastAsia" w:ascii="宋体" w:hAnsi="宋体" w:eastAsia="宋体" w:cs="宋体"/>
                <w:color w:val="auto"/>
                <w:szCs w:val="22"/>
                <w:highlight w:val="none"/>
              </w:rPr>
            </w:pPr>
            <w:r>
              <w:rPr>
                <w:rFonts w:hint="eastAsia" w:ascii="宋体" w:hAnsi="宋体" w:eastAsia="宋体" w:cs="宋体"/>
                <w:color w:val="auto"/>
                <w:szCs w:val="22"/>
                <w:highlight w:val="none"/>
              </w:rPr>
              <w:t>(1)投标函及报价一览表、法定代表人身份证明或授权书应由法定代表人或其授权代表签字（或盖章），并加盖单位章；</w:t>
            </w:r>
          </w:p>
          <w:p>
            <w:pPr>
              <w:keepNext/>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(2)其他证明供应商资格的文件或证明材料应为加盖出具单位章的有效文件，样式可参照“响应文件格式”编制</w:t>
            </w:r>
            <w:r>
              <w:rPr>
                <w:rFonts w:hint="eastAsia" w:ascii="宋体" w:hAnsi="宋体" w:eastAsia="宋体" w:cs="宋体"/>
                <w:color w:val="auto"/>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6" w:type="pct"/>
            <w:noWrap w:val="0"/>
            <w:vAlign w:val="center"/>
          </w:tcPr>
          <w:p>
            <w:pPr>
              <w:spacing w:line="35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18</w:t>
            </w:r>
          </w:p>
        </w:tc>
        <w:tc>
          <w:tcPr>
            <w:tcW w:w="896" w:type="pct"/>
            <w:noWrap w:val="0"/>
            <w:vAlign w:val="center"/>
          </w:tcPr>
          <w:p>
            <w:pPr>
              <w:pStyle w:val="17"/>
              <w:ind w:left="0" w:leftChars="0" w:right="0" w:rightChars="0"/>
              <w:jc w:val="left"/>
              <w:rPr>
                <w:rFonts w:hint="eastAsia" w:ascii="宋体" w:hAnsi="宋体" w:eastAsia="宋体" w:cs="宋体"/>
                <w:color w:val="auto"/>
                <w:szCs w:val="22"/>
                <w:highlight w:val="none"/>
              </w:rPr>
            </w:pPr>
            <w:r>
              <w:rPr>
                <w:rFonts w:hint="eastAsia" w:ascii="宋体" w:hAnsi="宋体" w:eastAsia="宋体" w:cs="宋体"/>
                <w:color w:val="auto"/>
                <w:kern w:val="2"/>
                <w:highlight w:val="none"/>
              </w:rPr>
              <w:t>采购进口产品</w:t>
            </w:r>
          </w:p>
        </w:tc>
        <w:tc>
          <w:tcPr>
            <w:tcW w:w="3677" w:type="pct"/>
            <w:noWrap w:val="0"/>
            <w:vAlign w:val="center"/>
          </w:tcPr>
          <w:p>
            <w:pPr>
              <w:pStyle w:val="17"/>
              <w:jc w:val="left"/>
              <w:rPr>
                <w:rFonts w:hint="eastAsia" w:ascii="宋体" w:hAnsi="宋体" w:eastAsia="宋体" w:cs="宋体"/>
                <w:color w:val="auto"/>
                <w:kern w:val="2"/>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kern w:val="2"/>
                <w:highlight w:val="none"/>
              </w:rPr>
              <w:t>本采购项目拒绝进口产品参加投标</w:t>
            </w:r>
          </w:p>
          <w:p>
            <w:pPr>
              <w:pStyle w:val="17"/>
              <w:jc w:val="left"/>
              <w:rPr>
                <w:rFonts w:hint="eastAsia" w:ascii="宋体" w:hAnsi="宋体" w:eastAsia="宋体" w:cs="宋体"/>
                <w:color w:val="auto"/>
                <w:kern w:val="2"/>
                <w:highlight w:val="none"/>
              </w:rPr>
            </w:pPr>
            <w:r>
              <w:rPr>
                <w:rFonts w:hint="eastAsia" w:hAnsi="宋体" w:cs="宋体"/>
                <w:color w:val="auto"/>
                <w:highlight w:val="none"/>
                <w:lang w:eastAsia="zh-CN"/>
              </w:rPr>
              <w:t>□</w:t>
            </w:r>
            <w:r>
              <w:rPr>
                <w:rFonts w:hint="eastAsia" w:ascii="宋体" w:hAnsi="宋体" w:eastAsia="宋体" w:cs="宋体"/>
                <w:color w:val="auto"/>
                <w:kern w:val="2"/>
                <w:highlight w:val="none"/>
              </w:rPr>
              <w:t>本采购项目已经财政部审核同意购买进口产品</w:t>
            </w:r>
          </w:p>
          <w:p>
            <w:pPr>
              <w:pStyle w:val="17"/>
              <w:ind w:left="0" w:leftChars="0" w:right="0" w:rightChars="0"/>
              <w:jc w:val="left"/>
              <w:rPr>
                <w:rFonts w:hint="default" w:ascii="宋体" w:hAnsi="宋体" w:eastAsia="宋体" w:cs="宋体"/>
                <w:color w:val="auto"/>
                <w:szCs w:val="22"/>
                <w:highlight w:val="none"/>
                <w:lang w:val="en-US" w:eastAsia="zh-CN"/>
              </w:rPr>
            </w:pPr>
            <w:r>
              <w:rPr>
                <w:rFonts w:hint="eastAsia" w:hAnsi="宋体" w:cs="宋体"/>
                <w:color w:val="auto"/>
                <w:highlight w:val="none"/>
                <w:lang w:eastAsia="zh-CN"/>
              </w:rPr>
              <w:t>□</w:t>
            </w:r>
            <w:r>
              <w:rPr>
                <w:rFonts w:hint="eastAsia" w:ascii="宋体" w:hAnsi="宋体" w:eastAsia="宋体" w:cs="宋体"/>
                <w:color w:val="auto"/>
                <w:kern w:val="2"/>
                <w:highlight w:val="none"/>
              </w:rPr>
              <w:t>其他</w:t>
            </w:r>
            <w:r>
              <w:rPr>
                <w:rFonts w:hint="eastAsia" w:hAnsi="宋体" w:cs="宋体"/>
                <w:color w:val="auto"/>
                <w:kern w:val="2"/>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26" w:type="pct"/>
            <w:noWrap w:val="0"/>
            <w:vAlign w:val="center"/>
          </w:tcPr>
          <w:p>
            <w:pPr>
              <w:spacing w:line="35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19</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磋商小组的组成</w:t>
            </w:r>
          </w:p>
        </w:tc>
        <w:tc>
          <w:tcPr>
            <w:tcW w:w="3677" w:type="pct"/>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评审专家人数：</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评审专家确定方式：从政府采购评审专家库中随机抽取</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人，采购人代表1人。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6" w:type="pct"/>
            <w:noWrap w:val="0"/>
            <w:vAlign w:val="center"/>
          </w:tcPr>
          <w:p>
            <w:pPr>
              <w:spacing w:line="35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0</w:t>
            </w:r>
          </w:p>
        </w:tc>
        <w:tc>
          <w:tcPr>
            <w:tcW w:w="896" w:type="pct"/>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磋商和最后报价的其他要求</w:t>
            </w:r>
          </w:p>
        </w:tc>
        <w:tc>
          <w:tcPr>
            <w:tcW w:w="3677" w:type="pct"/>
            <w:noWrap w:val="0"/>
            <w:vAlign w:val="center"/>
          </w:tcPr>
          <w:p>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磋商结束后，所有参加磋商的供应商按照磋商小组的要求做最后报价（含修正的响应文件，如有），最后报价由其</w:t>
            </w:r>
            <w:r>
              <w:rPr>
                <w:rFonts w:hint="eastAsia" w:ascii="宋体" w:hAnsi="宋体" w:eastAsia="宋体" w:cs="宋体"/>
                <w:color w:val="auto"/>
                <w:szCs w:val="21"/>
                <w:highlight w:val="none"/>
              </w:rPr>
              <w:t>法定代表人或其授权代表</w:t>
            </w:r>
            <w:r>
              <w:rPr>
                <w:rFonts w:hint="eastAsia" w:ascii="宋体" w:hAnsi="宋体" w:eastAsia="宋体" w:cs="宋体"/>
                <w:bCs/>
                <w:color w:val="auto"/>
                <w:szCs w:val="21"/>
                <w:highlight w:val="none"/>
              </w:rPr>
              <w:t>签字后递交给采购代理机构。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426" w:type="pct"/>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1</w:t>
            </w:r>
          </w:p>
        </w:tc>
        <w:tc>
          <w:tcPr>
            <w:tcW w:w="896" w:type="pct"/>
            <w:noWrap w:val="0"/>
            <w:vAlign w:val="center"/>
          </w:tcPr>
          <w:p>
            <w:pPr>
              <w:spacing w:line="35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成交结果公示媒体</w:t>
            </w:r>
          </w:p>
        </w:tc>
        <w:tc>
          <w:tcPr>
            <w:tcW w:w="3677" w:type="pct"/>
            <w:noWrap w:val="0"/>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中国河北政府采购网</w:t>
            </w:r>
            <w:r>
              <w:rPr>
                <w:rFonts w:hint="eastAsia" w:ascii="宋体" w:hAnsi="宋体" w:eastAsia="宋体" w:cs="宋体"/>
                <w:color w:val="auto"/>
                <w:szCs w:val="21"/>
                <w:highlight w:val="none"/>
              </w:rPr>
              <w:t>、中国政府采购网、秦皇岛市公共资源交易网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26" w:type="pct"/>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2</w:t>
            </w:r>
          </w:p>
        </w:tc>
        <w:tc>
          <w:tcPr>
            <w:tcW w:w="896" w:type="pct"/>
            <w:noWrap w:val="0"/>
            <w:vAlign w:val="center"/>
          </w:tcPr>
          <w:p>
            <w:pPr>
              <w:pStyle w:val="17"/>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kern w:val="2"/>
                <w:sz w:val="24"/>
                <w:szCs w:val="24"/>
                <w:highlight w:val="none"/>
                <w:lang w:val="en-US" w:eastAsia="zh-CN"/>
              </w:rPr>
              <w:t>其他要求</w:t>
            </w:r>
          </w:p>
        </w:tc>
        <w:tc>
          <w:tcPr>
            <w:tcW w:w="3677" w:type="pct"/>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登录“秦皇岛市公共资源电子交易平台”，打开【政府采购-文件下载】菜单，点击页面左上角【电子投标文件制作工具下载】按钮，下载“新点投标文件制作软件（河北公共资源版）”；也可在文件下载详情页面点击投标文件制作软件图标下载“新点投标文件制作软件（河北公共资源版）”；或者直接登录新点标桥https://www.bqpoint.com/在下载栏目中搜索“新点投标文件制作软件（河北公共资源版）”进行下载。</w:t>
            </w:r>
          </w:p>
          <w:p>
            <w:pPr>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通过CA秘钥登录电子交易平台自行下载所参加项目的</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及变更澄清文件（如有）。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格式为“*.QHDZF”，需使用“新点投标文件制作软件（河北公共资源版）”打开。</w:t>
            </w:r>
          </w:p>
          <w:p>
            <w:pPr>
              <w:rPr>
                <w:rFonts w:hint="eastAsia" w:ascii="宋体" w:hAnsi="宋体" w:eastAsia="宋体" w:cs="宋体"/>
                <w:color w:val="auto"/>
                <w:highlight w:val="none"/>
              </w:rPr>
            </w:pPr>
            <w:r>
              <w:rPr>
                <w:rFonts w:hint="eastAsia" w:ascii="宋体" w:hAnsi="宋体" w:eastAsia="宋体" w:cs="宋体"/>
                <w:color w:val="auto"/>
                <w:highlight w:val="none"/>
              </w:rPr>
              <w:t>（3）采购文件格式所要求包含的全部资料应全部制作在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内，严格按照本项目采购文件所有格式如实填写（不涉及的内容除外），不应存在漏项或缺项，否则将存在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被拒绝的风险。</w:t>
            </w:r>
          </w:p>
          <w:p>
            <w:pP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应使用投标文件编制工具编制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。并使用数字证书（CA）对</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进行加密、签名。电子交易系统不接收潜在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未按规定使用数字证书（CA）加密、签名的</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在投标截止时间前可以对</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进行补充、修改或者撤销。</w:t>
            </w:r>
          </w:p>
          <w:p>
            <w:pP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以外的任何资料采购人和交易中心将拒收。</w:t>
            </w:r>
          </w:p>
          <w:p>
            <w:pPr>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编辑电子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时，根据</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要求用企业CA秘钥进行签章制作；最后一步生成电子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（*.QHDTF 格式和*.nQHDTF 格式）时，只能用本单位的企业CA秘钥加密。加密的电子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为使用“新点投标文件制作软件（河北公共资源版）”软件制作生成的加密版</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。未加密的电子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应与加密的电子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为同时生成的版本。</w:t>
            </w:r>
          </w:p>
          <w:p>
            <w:pPr>
              <w:rPr>
                <w:rFonts w:hint="eastAsia" w:ascii="宋体" w:hAnsi="宋体" w:eastAsia="宋体" w:cs="宋体"/>
                <w:color w:val="auto"/>
                <w:highlight w:val="none"/>
              </w:rPr>
            </w:pPr>
            <w:r>
              <w:rPr>
                <w:rFonts w:hint="eastAsia" w:ascii="宋体" w:hAnsi="宋体" w:eastAsia="宋体" w:cs="宋体"/>
                <w:color w:val="auto"/>
                <w:highlight w:val="none"/>
              </w:rPr>
              <w:t>（7）CA 办理方式：</w:t>
            </w:r>
          </w:p>
          <w:p>
            <w:pPr>
              <w:rPr>
                <w:rFonts w:hint="eastAsia" w:ascii="宋体" w:hAnsi="宋体" w:eastAsia="宋体" w:cs="宋体"/>
                <w:color w:val="auto"/>
                <w:highlight w:val="none"/>
              </w:rPr>
            </w:pPr>
            <w:r>
              <w:rPr>
                <w:rFonts w:hint="eastAsia" w:ascii="宋体" w:hAnsi="宋体" w:eastAsia="宋体" w:cs="宋体"/>
                <w:color w:val="auto"/>
                <w:highlight w:val="none"/>
              </w:rPr>
              <w:t>办理 CA 密钥可在河北CA、北京CA中选择办理。办理CA咨询电话秦皇岛市政府采购中心如下：</w:t>
            </w:r>
          </w:p>
          <w:p>
            <w:pPr>
              <w:rPr>
                <w:rFonts w:hint="eastAsia" w:ascii="宋体" w:hAnsi="宋体" w:eastAsia="宋体" w:cs="宋体"/>
                <w:color w:val="auto"/>
                <w:highlight w:val="none"/>
              </w:rPr>
            </w:pPr>
            <w:r>
              <w:rPr>
                <w:rFonts w:hint="eastAsia" w:ascii="宋体" w:hAnsi="宋体" w:eastAsia="宋体" w:cs="宋体"/>
                <w:color w:val="auto"/>
                <w:highlight w:val="none"/>
              </w:rPr>
              <w:t>河北 CA：0335-3377228；13231377228</w:t>
            </w:r>
          </w:p>
          <w:p>
            <w:pPr>
              <w:rPr>
                <w:rFonts w:hint="eastAsia" w:ascii="宋体" w:hAnsi="宋体" w:eastAsia="宋体" w:cs="宋体"/>
                <w:color w:val="auto"/>
                <w:highlight w:val="none"/>
              </w:rPr>
            </w:pPr>
            <w:r>
              <w:rPr>
                <w:rFonts w:hint="eastAsia" w:ascii="宋体" w:hAnsi="宋体" w:eastAsia="宋体" w:cs="宋体"/>
                <w:color w:val="auto"/>
                <w:highlight w:val="none"/>
              </w:rPr>
              <w:t>北京 CA：0335-8055008；18630383117</w:t>
            </w:r>
          </w:p>
          <w:p>
            <w:pPr>
              <w:rPr>
                <w:rFonts w:hint="eastAsia" w:ascii="宋体" w:hAnsi="宋体" w:eastAsia="宋体" w:cs="宋体"/>
                <w:color w:val="auto"/>
                <w:highlight w:val="none"/>
              </w:rPr>
            </w:pPr>
            <w:r>
              <w:rPr>
                <w:rFonts w:hint="eastAsia" w:ascii="宋体" w:hAnsi="宋体" w:eastAsia="宋体" w:cs="宋体"/>
                <w:color w:val="auto"/>
                <w:highlight w:val="none"/>
              </w:rPr>
              <w:t>办理地址：秦皇岛市公共资源交易中心1号、2号窗口。</w:t>
            </w:r>
          </w:p>
          <w:p>
            <w:pPr>
              <w:rPr>
                <w:rFonts w:hint="eastAsia" w:ascii="宋体" w:hAnsi="宋体" w:eastAsia="宋体" w:cs="宋体"/>
                <w:color w:val="auto"/>
                <w:highlight w:val="none"/>
              </w:rPr>
            </w:pPr>
            <w:r>
              <w:rPr>
                <w:rFonts w:hint="eastAsia" w:ascii="宋体" w:hAnsi="宋体" w:eastAsia="宋体" w:cs="宋体"/>
                <w:color w:val="auto"/>
                <w:highlight w:val="none"/>
              </w:rPr>
              <w:t>详细办理流程见秦皇岛市公共资源交易网（新版）--&gt;办事指南--&gt;交易响应方--&gt;常见问题栏目的《秦皇岛市公共资源交易中心关于办理CA数字证书及电子签章有关事项通知》。</w:t>
            </w:r>
          </w:p>
          <w:p>
            <w:pPr>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本项目将采用全流程电子交易开标评标，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提供的资格文件或业绩等所有资料均须以原件扫描件形式附在投标（响应）文件中。</w:t>
            </w:r>
          </w:p>
          <w:p>
            <w:pPr>
              <w:rPr>
                <w:rFonts w:hint="eastAsia" w:ascii="宋体" w:hAnsi="宋体" w:eastAsia="宋体" w:cs="宋体"/>
                <w:b/>
                <w:bCs/>
                <w:color w:val="auto"/>
                <w:highlight w:val="none"/>
              </w:rPr>
            </w:pPr>
            <w:r>
              <w:rPr>
                <w:rFonts w:hint="eastAsia" w:ascii="宋体" w:hAnsi="宋体" w:eastAsia="宋体" w:cs="宋体"/>
                <w:b/>
                <w:bCs/>
                <w:color w:val="auto"/>
                <w:highlight w:val="none"/>
              </w:rPr>
              <w:t>因本项目采用网上开标大厅交易方式，采购人特别说明如下：</w:t>
            </w:r>
          </w:p>
          <w:p>
            <w:pPr>
              <w:numPr>
                <w:ilvl w:val="0"/>
                <w:numId w:val="0"/>
              </w:numPr>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9</w:t>
            </w:r>
            <w:r>
              <w:rPr>
                <w:rFonts w:hint="eastAsia" w:ascii="宋体" w:hAnsi="宋体" w:cs="宋体"/>
                <w:color w:val="auto"/>
                <w:highlight w:val="none"/>
                <w:lang w:eastAsia="zh-CN"/>
              </w:rPr>
              <w:t>）</w:t>
            </w:r>
            <w:r>
              <w:rPr>
                <w:rFonts w:hint="eastAsia" w:ascii="宋体" w:hAnsi="宋体" w:eastAsia="宋体" w:cs="宋体"/>
                <w:color w:val="auto"/>
                <w:highlight w:val="none"/>
              </w:rPr>
              <w:t>远程开标项目的时间均以国家授时中心发布的时间为准。</w:t>
            </w:r>
          </w:p>
          <w:p>
            <w:pPr>
              <w:numPr>
                <w:ilvl w:val="0"/>
                <w:numId w:val="0"/>
              </w:numPr>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eastAsia="宋体" w:cs="宋体"/>
                <w:color w:val="auto"/>
                <w:highlight w:val="none"/>
              </w:rPr>
              <w:t>本项目招投标文件均用专用招投标工具软件编制，并通过电子交易平台完成招投标过程。</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投标文件的编制和递交，应依照</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的规定进行。如未按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要求编制、递交电子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，将可能导致废标，其后果由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自负。</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如对正确使用投标文件制作工具软件有疑问的，请拨打系统内客服电话咨询。</w:t>
            </w:r>
          </w:p>
          <w:p>
            <w:pPr>
              <w:numPr>
                <w:ilvl w:val="0"/>
                <w:numId w:val="0"/>
              </w:numPr>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通过网上招投标平台递交的电子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为评标依据，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须使用工具制作电子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时生成加密</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，用于上传</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；开标当日，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必抵达开标现场，在任意地点通过秦皇岛市公共资源交易网上开标大厅系统（以下简称：“网上开标大厅”）参加开标会议，并根据需要使用网上开标大厅与现场开标主持人进行互动交流、澄清、提疑以及文件传送等活动。</w:t>
            </w:r>
          </w:p>
          <w:p>
            <w:pPr>
              <w:numPr>
                <w:ilvl w:val="0"/>
                <w:numId w:val="0"/>
              </w:numPr>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递交截止时间前一小时内，各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的授权委托人或法人代表均提前进入网上开标大厅，选择进入对应标段的开标会议区在线签到。登录秦皇岛市网上开标大厅：</w:t>
            </w:r>
          </w:p>
          <w:p>
            <w:pPr>
              <w:rPr>
                <w:rFonts w:hint="eastAsia" w:ascii="宋体" w:hAnsi="宋体" w:eastAsia="宋体" w:cs="宋体"/>
                <w:color w:val="auto"/>
                <w:highlight w:val="none"/>
              </w:rPr>
            </w:pPr>
            <w:r>
              <w:rPr>
                <w:rFonts w:hint="eastAsia" w:ascii="宋体" w:hAnsi="宋体" w:eastAsia="宋体" w:cs="宋体"/>
                <w:color w:val="auto"/>
                <w:highlight w:val="none"/>
              </w:rPr>
              <w:t>http://110.249.177.252:90/BidOpening/bidopeninghallaction/hall/login，根据操作手册（请在秦皇岛市公共资源交易中心网站-办事指南-交易响应方-“操作手册”中下载）收听观看实时音视频交互效果，在开标过程中如有疑义请及时在讨论组中反馈。</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未按时加入开标会议区或未能在开标会议区内全程参与交互的，视为放弃交互和对开评标全过程提疑的权利，</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将无法看到解密指令、废标及澄清、唱标、开标结果等情况，并承担由此导致的一切后果。</w:t>
            </w:r>
          </w:p>
          <w:p>
            <w:pPr>
              <w:numPr>
                <w:ilvl w:val="0"/>
                <w:numId w:val="0"/>
              </w:numPr>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递交截止时间后，将在系统内公布</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名单，然后通过开标会议区发出</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解密的指令，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在各自地点按规定时间自行实施远程解密。因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网络与电源不稳定、未按操作手册要求配置软硬件、CA密钥发生故障或用错、故意不在要求时限内完成解密等自身原因，导致</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在规定时间内未能解密、解密失败或解密超时，视为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撤销其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，系统内</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将被退回；因采购人原因或网上开标大厅发生故障，导致无法按时完成</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解密或开、评标工作无法进行的，可根据实际情况相应延迟解密时间【友情提示：请使用制作投标文件CA密钥进行解密】。</w:t>
            </w:r>
          </w:p>
          <w:p>
            <w:pPr>
              <w:numPr>
                <w:ilvl w:val="0"/>
                <w:numId w:val="0"/>
              </w:numPr>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14</w:t>
            </w:r>
            <w:r>
              <w:rPr>
                <w:rFonts w:hint="eastAsia" w:ascii="宋体" w:hAnsi="宋体" w:cs="宋体"/>
                <w:color w:val="auto"/>
                <w:highlight w:val="none"/>
                <w:lang w:eastAsia="zh-CN"/>
              </w:rPr>
              <w:t>）</w:t>
            </w:r>
            <w:r>
              <w:rPr>
                <w:rFonts w:hint="eastAsia" w:ascii="宋体" w:hAnsi="宋体" w:eastAsia="宋体" w:cs="宋体"/>
                <w:color w:val="auto"/>
                <w:highlight w:val="none"/>
              </w:rPr>
              <w:t>开评标全过程中，各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参与远程交互的授权委托人或法人代表应始终为同一个人，中途不得更换，在废标、澄清、提疑、传送文件等特殊情况下需要交互时，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一端参与交互的人员将均被视为是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的授权委托人或法人代表，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不得以不承认交互人员的资格或身份等为借口抵赖推脱，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自行承担随意更换人员所导致的一切后果。</w:t>
            </w:r>
          </w:p>
          <w:p>
            <w:pPr>
              <w:pStyle w:val="17"/>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2"/>
                <w:highlight w:val="none"/>
                <w:lang w:val="en-US" w:eastAsia="zh-CN"/>
              </w:rPr>
              <w:t>为顺利实现本项目开评标的远程交互，建议供应商配置的硬件设施有：高配置电脑（操作系统要求Windows7及以上，IE浏览器暂只支持IE11及以上）、高速稳定的网络（独享网络带宽4M以上）、电源（不间断）、CA密钥、音视频设备（话筒、耳麦、高清摄像头、音响）等；建议供应商具备的软件设施有：安装河北省通用数字证书驱动最新版本</w:t>
            </w:r>
            <w:r>
              <w:rPr>
                <w:rFonts w:hint="eastAsia" w:ascii="宋体" w:hAnsi="宋体" w:eastAsia="宋体" w:cs="宋体"/>
                <w:color w:val="auto"/>
                <w:spacing w:val="-11"/>
                <w:szCs w:val="22"/>
                <w:highlight w:val="none"/>
                <w:lang w:val="en-US" w:eastAsia="zh-CN"/>
              </w:rPr>
              <w:t>（可到河北省公共资源交易信息网http://www.hebpr.gov.cn/hbjyzx/bszn/006005/bsznmore.html</w:t>
            </w:r>
            <w:r>
              <w:rPr>
                <w:rFonts w:hint="eastAsia" w:ascii="宋体" w:hAnsi="宋体" w:eastAsia="宋体" w:cs="宋体"/>
                <w:color w:val="auto"/>
                <w:szCs w:val="22"/>
                <w:highlight w:val="none"/>
                <w:lang w:val="en-US" w:eastAsia="zh-CN"/>
              </w:rPr>
              <w:t>下载数字证书驱动）。为保证交互效果，建议供应商选择封闭安静的地点参与远程交互。因供应商自身软硬件配备不齐全或发生故障等问题而导致在交互过程中出现不稳定或中断等情况的，由供应商自身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26" w:type="pct"/>
            <w:noWrap w:val="0"/>
            <w:vAlign w:val="center"/>
          </w:tcPr>
          <w:p>
            <w:pPr>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23</w:t>
            </w:r>
          </w:p>
        </w:tc>
        <w:tc>
          <w:tcPr>
            <w:tcW w:w="896" w:type="pct"/>
            <w:noWrap w:val="0"/>
            <w:vAlign w:val="center"/>
          </w:tcPr>
          <w:p>
            <w:pPr>
              <w:pStyle w:val="17"/>
              <w:ind w:left="0" w:leftChars="0" w:right="0" w:rightChars="0"/>
              <w:jc w:val="left"/>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rPr>
              <w:t>其他法律法规强制性规定或扶持政策</w:t>
            </w:r>
          </w:p>
        </w:tc>
        <w:tc>
          <w:tcPr>
            <w:tcW w:w="3677" w:type="pct"/>
            <w:noWrap w:val="0"/>
            <w:vAlign w:val="center"/>
          </w:tcPr>
          <w:p>
            <w:pPr>
              <w:spacing w:line="440" w:lineRule="exact"/>
              <w:rPr>
                <w:rFonts w:hint="eastAsia" w:ascii="宋体" w:hAnsi="宋体" w:eastAsia="宋体" w:cs="宋体"/>
                <w:b/>
                <w:color w:val="auto"/>
                <w:szCs w:val="21"/>
                <w:highlight w:val="none"/>
              </w:rPr>
            </w:pPr>
            <w:r>
              <w:rPr>
                <w:rFonts w:hint="eastAsia" w:ascii="宋体" w:hAnsi="宋体" w:eastAsia="宋体" w:cs="宋体"/>
                <w:b/>
                <w:bCs/>
                <w:color w:val="auto"/>
                <w:sz w:val="21"/>
                <w:szCs w:val="21"/>
                <w:highlight w:val="none"/>
              </w:rPr>
              <w:t>政府采购相关政策要求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6" w:type="pct"/>
            <w:noWrap w:val="0"/>
            <w:vAlign w:val="center"/>
          </w:tcPr>
          <w:p>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24</w:t>
            </w:r>
          </w:p>
        </w:tc>
        <w:tc>
          <w:tcPr>
            <w:tcW w:w="4573" w:type="pct"/>
            <w:gridSpan w:val="2"/>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26" w:type="pct"/>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.1</w:t>
            </w:r>
          </w:p>
        </w:tc>
        <w:tc>
          <w:tcPr>
            <w:tcW w:w="4573" w:type="pct"/>
            <w:gridSpan w:val="2"/>
            <w:noWrap w:val="0"/>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代理服务费：成交单位在领取成交通知书</w:t>
            </w:r>
            <w:r>
              <w:rPr>
                <w:rFonts w:hint="eastAsia" w:ascii="宋体" w:hAnsi="宋体" w:eastAsia="宋体" w:cs="宋体"/>
                <w:b/>
                <w:color w:val="auto"/>
                <w:szCs w:val="21"/>
                <w:highlight w:val="none"/>
                <w:lang w:eastAsia="zh-CN"/>
              </w:rPr>
              <w:t>时</w:t>
            </w:r>
            <w:r>
              <w:rPr>
                <w:rFonts w:hint="eastAsia" w:ascii="宋体" w:hAnsi="宋体" w:eastAsia="宋体" w:cs="宋体"/>
                <w:b/>
                <w:color w:val="auto"/>
                <w:szCs w:val="21"/>
                <w:highlight w:val="none"/>
              </w:rPr>
              <w:t>按</w:t>
            </w:r>
            <w:r>
              <w:rPr>
                <w:rFonts w:hint="eastAsia" w:ascii="宋体" w:hAnsi="宋体" w:eastAsia="宋体" w:cs="宋体"/>
                <w:b/>
                <w:color w:val="auto"/>
                <w:szCs w:val="21"/>
                <w:highlight w:val="none"/>
                <w:lang w:eastAsia="zh-CN"/>
              </w:rPr>
              <w:t>下表</w:t>
            </w:r>
            <w:r>
              <w:rPr>
                <w:rFonts w:hint="eastAsia" w:ascii="宋体" w:hAnsi="宋体" w:eastAsia="宋体" w:cs="宋体"/>
                <w:b/>
                <w:color w:val="auto"/>
                <w:szCs w:val="21"/>
                <w:highlight w:val="none"/>
              </w:rPr>
              <w:t>差额累计法计算标准一次性支付招标代理费给</w:t>
            </w:r>
            <w:r>
              <w:rPr>
                <w:rFonts w:hint="eastAsia" w:ascii="宋体" w:hAnsi="宋体" w:eastAsia="宋体" w:cs="宋体"/>
                <w:b/>
                <w:color w:val="auto"/>
                <w:szCs w:val="21"/>
                <w:highlight w:val="none"/>
                <w:lang w:eastAsia="zh-CN"/>
              </w:rPr>
              <w:t>采购代理</w:t>
            </w:r>
            <w:r>
              <w:rPr>
                <w:rFonts w:hint="eastAsia" w:ascii="宋体" w:hAnsi="宋体" w:eastAsia="宋体" w:cs="宋体"/>
                <w:b/>
                <w:color w:val="auto"/>
                <w:szCs w:val="21"/>
                <w:highlight w:val="none"/>
              </w:rPr>
              <w:t>单位。</w:t>
            </w:r>
          </w:p>
          <w:tbl>
            <w:tblPr>
              <w:tblStyle w:val="27"/>
              <w:tblpPr w:leftFromText="180" w:rightFromText="180" w:vertAnchor="text" w:horzAnchor="page" w:tblpX="884" w:tblpY="72"/>
              <w:tblOverlap w:val="never"/>
              <w:tblW w:w="7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2231"/>
              <w:gridCol w:w="1502"/>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451" w:type="dxa"/>
                  <w:noWrap w:val="0"/>
                  <w:vAlign w:val="top"/>
                </w:tcPr>
                <w:p>
                  <w:pPr>
                    <w:ind w:firstLine="127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451485</wp:posOffset>
                            </wp:positionH>
                            <wp:positionV relativeFrom="paragraph">
                              <wp:posOffset>3175</wp:posOffset>
                            </wp:positionV>
                            <wp:extent cx="1036955" cy="1186815"/>
                            <wp:effectExtent l="3810" t="3175" r="6985" b="10160"/>
                            <wp:wrapNone/>
                            <wp:docPr id="4" name="直接连接符 4"/>
                            <wp:cNvGraphicFramePr/>
                            <a:graphic xmlns:a="http://schemas.openxmlformats.org/drawingml/2006/main">
                              <a:graphicData uri="http://schemas.microsoft.com/office/word/2010/wordprocessingShape">
                                <wps:wsp>
                                  <wps:cNvCnPr/>
                                  <wps:spPr>
                                    <a:xfrm flipH="1" flipV="1">
                                      <a:off x="0" y="0"/>
                                      <a:ext cx="1036955" cy="11868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35.55pt;margin-top:0.25pt;height:93.45pt;width:81.65pt;z-index:251659264;mso-width-relative:page;mso-height-relative:page;" filled="f" stroked="t" coordsize="21600,21600" o:gfxdata="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dH040gAAAAcBAAAPAAAAAAAAAAEAIAAAACIAAABkcnMvZG93&#10;bnJldi54bWxQSwECFAAUAAAACACHTuJA9khdrgYCAAD+AwAADgAAAAAAAAABACAAAAAhAQAAZHJz&#10;L2Uyb0RvYy54bWxQSwUGAAAAAAYABgBZAQAAmQUAAAAA&#10;">
                            <v:fill on="f" focussize="0,0"/>
                            <v:stroke color="#000000" joinstyle="round"/>
                            <v:imagedata o:title=""/>
                            <o:lock v:ext="edit" aspectratio="f"/>
                          </v:line>
                        </w:pict>
                      </mc:Fallback>
                    </mc:AlternateContent>
                  </w:r>
                  <w:r>
                    <w:rPr>
                      <w:rFonts w:hint="eastAsia" w:ascii="宋体" w:hAnsi="宋体" w:eastAsia="宋体" w:cs="宋体"/>
                      <w:b/>
                      <w:color w:val="auto"/>
                      <w:szCs w:val="21"/>
                      <w:highlight w:val="none"/>
                    </w:rPr>
                    <w:t>服</w:t>
                  </w:r>
                </w:p>
                <w:p>
                  <w:pPr>
                    <w:ind w:firstLine="21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费　　　　　务</w:t>
                  </w:r>
                </w:p>
                <w:p>
                  <w:pPr>
                    <w:ind w:firstLine="100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96520</wp:posOffset>
                            </wp:positionV>
                            <wp:extent cx="1552575" cy="680720"/>
                            <wp:effectExtent l="1905" t="4445" r="7620" b="19685"/>
                            <wp:wrapNone/>
                            <wp:docPr id="1" name="直接连接符 1"/>
                            <wp:cNvGraphicFramePr/>
                            <a:graphic xmlns:a="http://schemas.openxmlformats.org/drawingml/2006/main">
                              <a:graphicData uri="http://schemas.microsoft.com/office/word/2010/wordprocessingShape">
                                <wps:wsp>
                                  <wps:cNvCnPr/>
                                  <wps:spPr>
                                    <a:xfrm flipH="1" flipV="1">
                                      <a:off x="0" y="0"/>
                                      <a:ext cx="1552575" cy="6807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6.15pt;margin-top:7.6pt;height:53.6pt;width:122.25pt;z-index:251660288;mso-width-relative:page;mso-height-relative:page;" filled="f" stroked="t" coordsize="21600,21600" o:gfxdata="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Kcb4fVAAAACgEAAA8AAAAAAAAAAQAgAAAAIgAAAGRycy9k&#10;b3ducmV2LnhtbFBLAQIUABQAAAAIAIdO4kDD91VbBQIAAP0DAAAOAAAAAAAAAAEAIAAAACQBAABk&#10;cnMvZTJvRG9jLnhtbFBLBQYAAAAABgAGAFkBAACbBQAAAAA=&#10;">
                            <v:fill on="f" focussize="0,0"/>
                            <v:stroke color="#000000" joinstyle="round"/>
                            <v:imagedata o:title=""/>
                            <o:lock v:ext="edit" aspectratio="f"/>
                          </v:line>
                        </w:pict>
                      </mc:Fallback>
                    </mc:AlternateContent>
                  </w:r>
                  <w:r>
                    <w:rPr>
                      <w:rFonts w:hint="eastAsia" w:ascii="宋体" w:hAnsi="宋体" w:eastAsia="宋体" w:cs="宋体"/>
                      <w:b/>
                      <w:color w:val="auto"/>
                      <w:szCs w:val="21"/>
                      <w:highlight w:val="none"/>
                    </w:rPr>
                    <w:t>　　　类</w:t>
                  </w:r>
                </w:p>
                <w:p>
                  <w:pPr>
                    <w:ind w:firstLine="105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率　　　型</w:t>
                  </w:r>
                </w:p>
                <w:p>
                  <w:pPr>
                    <w:ind w:firstLine="105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中标金额（万元）</w:t>
                  </w:r>
                </w:p>
              </w:tc>
              <w:tc>
                <w:tcPr>
                  <w:tcW w:w="2231"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货物招标</w:t>
                  </w:r>
                </w:p>
              </w:tc>
              <w:tc>
                <w:tcPr>
                  <w:tcW w:w="1502"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服务招标</w:t>
                  </w:r>
                </w:p>
              </w:tc>
              <w:tc>
                <w:tcPr>
                  <w:tcW w:w="1781"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5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223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0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8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5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223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0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78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5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223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50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78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5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223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50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78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5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223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50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78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5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10000-100000</w:t>
                  </w:r>
                </w:p>
              </w:tc>
              <w:tc>
                <w:tcPr>
                  <w:tcW w:w="223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0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8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5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1000000以上</w:t>
                  </w:r>
                </w:p>
              </w:tc>
              <w:tc>
                <w:tcPr>
                  <w:tcW w:w="223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0.01%</w:t>
                  </w:r>
                </w:p>
              </w:tc>
              <w:tc>
                <w:tcPr>
                  <w:tcW w:w="150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0.01%</w:t>
                  </w:r>
                </w:p>
              </w:tc>
              <w:tc>
                <w:tcPr>
                  <w:tcW w:w="178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0.01%</w:t>
                  </w:r>
                </w:p>
              </w:tc>
            </w:tr>
          </w:tbl>
          <w:p>
            <w:pPr>
              <w:rPr>
                <w:rFonts w:hint="eastAsia" w:ascii="宋体" w:hAnsi="宋体" w:eastAsia="宋体" w:cs="宋体"/>
                <w:b/>
                <w:color w:val="auto"/>
                <w:szCs w:val="21"/>
                <w:highlight w:val="none"/>
              </w:rPr>
            </w:pPr>
          </w:p>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26" w:type="pct"/>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.2</w:t>
            </w:r>
          </w:p>
        </w:tc>
        <w:tc>
          <w:tcPr>
            <w:tcW w:w="4573" w:type="pct"/>
            <w:gridSpan w:val="2"/>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磋商文件的各个组成文件应互为解释，互为说明；除磋商文件中有特别规定外，按磋商公告、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26" w:type="pct"/>
            <w:noWrap w:val="0"/>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.3</w:t>
            </w:r>
          </w:p>
        </w:tc>
        <w:tc>
          <w:tcPr>
            <w:tcW w:w="4573" w:type="pct"/>
            <w:gridSpan w:val="2"/>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除法律、法规和规章规定外，</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中标注“★”符号的条款为实质性要求条款(即重要条款)，对其中任何一条的偏离，在评标时将其视为无效投标。</w:t>
            </w:r>
          </w:p>
        </w:tc>
      </w:tr>
    </w:tbl>
    <w:p>
      <w:pPr>
        <w:jc w:val="center"/>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28"/>
          <w:szCs w:val="28"/>
          <w:highlight w:val="none"/>
        </w:rPr>
        <w:t>磋商须知正文</w:t>
      </w:r>
    </w:p>
    <w:p>
      <w:pPr>
        <w:pStyle w:val="7"/>
        <w:pageBreakBefore w:val="0"/>
        <w:kinsoku/>
        <w:wordWrap/>
        <w:overflowPunct/>
        <w:topLinePunct w:val="0"/>
        <w:bidi w:val="0"/>
        <w:snapToGrid w:val="0"/>
        <w:spacing w:before="0" w:beforeLines="0" w:after="0" w:afterLines="0" w:line="360" w:lineRule="auto"/>
        <w:ind w:left="0" w:leftChars="0" w:firstLine="562" w:firstLineChars="200"/>
        <w:rPr>
          <w:rFonts w:hint="eastAsia" w:ascii="宋体" w:hAnsi="宋体" w:eastAsia="宋体" w:cs="宋体"/>
          <w:color w:val="auto"/>
          <w:highlight w:val="none"/>
        </w:rPr>
      </w:pPr>
      <w:r>
        <w:rPr>
          <w:rFonts w:hint="eastAsia" w:ascii="宋体" w:hAnsi="宋体" w:eastAsia="宋体" w:cs="宋体"/>
          <w:color w:val="auto"/>
          <w:highlight w:val="none"/>
        </w:rPr>
        <w:t>一、总则</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1.使用范围</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1.1本磋商文件仅适用于</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中所述的采购项目。</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是指依法进行政府采购的国家机关、事业单位、团体组织。本次政府采购的采购人名称、地址、电话、联系人见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是指接受采购人委托，代理采购项目的集中采购机构和其他采购代理机构。本次政府采购的采购代理机构名称、地址、电话、联系人见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“供应商”是响应磋商文件要求、参加竞争性磋商采购的法人、其他组织或者自然人。本次政府采购项目邀请的供应商通过</w:t>
      </w:r>
      <w:r>
        <w:rPr>
          <w:rFonts w:hint="eastAsia" w:ascii="宋体" w:hAnsi="宋体" w:eastAsia="宋体" w:cs="宋体"/>
          <w:b/>
          <w:color w:val="auto"/>
          <w:sz w:val="24"/>
          <w:szCs w:val="24"/>
          <w:highlight w:val="none"/>
        </w:rPr>
        <w:t>磋商须知前附表</w:t>
      </w:r>
      <w:r>
        <w:rPr>
          <w:rFonts w:hint="eastAsia" w:ascii="宋体" w:hAnsi="宋体" w:eastAsia="宋体" w:cs="宋体"/>
          <w:bCs/>
          <w:color w:val="auto"/>
          <w:sz w:val="24"/>
          <w:szCs w:val="24"/>
          <w:highlight w:val="none"/>
        </w:rPr>
        <w:t>所述方式产生。</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“磋商小组”依据《政府采购竞争性磋商采购方式管理暂行办法》有关规定组建，依法履行职责。</w:t>
      </w:r>
    </w:p>
    <w:p>
      <w:pPr>
        <w:pStyle w:val="17"/>
        <w:pageBreakBefore w:val="0"/>
        <w:numPr>
          <w:ilvl w:val="0"/>
          <w:numId w:val="2"/>
        </w:numPr>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3.1供应商应当符合下列资格条件要求：</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(1)《政府采购法》第二十二条第一款规定的供应商基本资格条件；</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(2)采购项目有特殊要求，磋商文件规定的供应商特定资格条件，具体见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供应商存在下列情形之一的不得参加竞争性磋商：</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供应商，不得参加同一合同项下的政府采购活动。为采购项目提供整体设计、规范编制或者项目管理、监理、检测等服务的供应商，不得参加该项目的其他采购活动。</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(2)因违法经营受到刑事处罚或者责令停产停业、吊销许可证或者执照、较大数额罚款等行政处罚、或者存在财政部门认定的其他重大违法记录，以及在财政部门禁止参加政府采购活动期限以内的。</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4.参与磋商的费用</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无论磋商的结果如何，供应商应自行承担所有与竞争性磋商</w:t>
      </w:r>
      <w:r>
        <w:rPr>
          <w:rFonts w:hint="eastAsia" w:ascii="宋体" w:hAnsi="宋体" w:eastAsia="宋体" w:cs="宋体"/>
          <w:color w:val="auto"/>
          <w:sz w:val="24"/>
          <w:szCs w:val="24"/>
          <w:highlight w:val="none"/>
          <w:lang w:val="zh-CN"/>
        </w:rPr>
        <w:t>采购活动</w:t>
      </w:r>
      <w:r>
        <w:rPr>
          <w:rFonts w:hint="eastAsia" w:ascii="宋体" w:hAnsi="宋体" w:eastAsia="宋体" w:cs="宋体"/>
          <w:color w:val="auto"/>
          <w:sz w:val="24"/>
          <w:szCs w:val="24"/>
          <w:highlight w:val="none"/>
        </w:rPr>
        <w:t>有关的全部费用。</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供应商代表为供应商的法定代表人的，应附法定代表人身份证明。供应商代表不是供应商的法定代表人的，应附法定代表人授权书，并附授权代表的身份证明。</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6.联合体形式</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除</w:t>
      </w:r>
      <w:r>
        <w:rPr>
          <w:rFonts w:hint="eastAsia" w:ascii="宋体" w:hAnsi="宋体" w:eastAsia="宋体" w:cs="宋体"/>
          <w:b/>
          <w:color w:val="auto"/>
          <w:sz w:val="24"/>
          <w:szCs w:val="24"/>
          <w:highlight w:val="none"/>
        </w:rPr>
        <w:t>磋商须知前附表</w:t>
      </w:r>
      <w:r>
        <w:rPr>
          <w:rFonts w:hint="eastAsia" w:ascii="宋体" w:hAnsi="宋体" w:eastAsia="宋体" w:cs="宋体"/>
          <w:bCs/>
          <w:color w:val="auto"/>
          <w:sz w:val="24"/>
          <w:szCs w:val="24"/>
          <w:highlight w:val="none"/>
        </w:rPr>
        <w:t>中另有规定，本次磋商采购不接受为联合体形式的供应商。</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6.2供应商为联合体形式的，除应符合本章第三条规定外，还应遵守以下规定：</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（1）联合体各方必须签订联合体协议书，明确联合体牵头人和各方权利、义务及分工、合同工作量比例；</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（2）联合体各方均应当符合本章第3.1款规定的供应商基本资格条件；</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中另有规定，联合体各方中至少有一方应当符合本章第3.1款规定的供应商特定资格条件；联合体中有同类资质的供应商按照联合体分工承担相同工作的，应当按照资质等级较低的供应商确定资质等级；</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（4）联合体各方不得再单独或与其他供应商组成新的联合体参加同一项目的采购活动。</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7.现场勘察</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7.1供应商应按</w:t>
      </w:r>
      <w:r>
        <w:rPr>
          <w:rFonts w:hint="eastAsia" w:ascii="宋体" w:hAnsi="宋体" w:eastAsia="宋体" w:cs="宋体"/>
          <w:b/>
          <w:color w:val="auto"/>
          <w:sz w:val="24"/>
          <w:szCs w:val="24"/>
          <w:highlight w:val="none"/>
        </w:rPr>
        <w:t>磋商须知前附表</w:t>
      </w:r>
      <w:r>
        <w:rPr>
          <w:rFonts w:hint="eastAsia" w:ascii="宋体" w:hAnsi="宋体" w:eastAsia="宋体" w:cs="宋体"/>
          <w:bCs/>
          <w:color w:val="auto"/>
          <w:sz w:val="24"/>
          <w:szCs w:val="24"/>
          <w:highlight w:val="none"/>
        </w:rPr>
        <w:t>中规定对采购项目现场和周围环境的现场考察。</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7.2勘察</w:t>
      </w:r>
      <w:r>
        <w:rPr>
          <w:rFonts w:hint="eastAsia" w:ascii="宋体" w:hAnsi="宋体" w:eastAsia="宋体" w:cs="宋体"/>
          <w:bCs/>
          <w:color w:val="auto"/>
          <w:sz w:val="24"/>
          <w:szCs w:val="24"/>
          <w:highlight w:val="none"/>
        </w:rPr>
        <w:t>现场的费用由供应商自己承担，勘察期间所发生的人身伤害及财产损失由供应商自己负责。</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7.3采购人不</w:t>
      </w:r>
      <w:r>
        <w:rPr>
          <w:rFonts w:hint="eastAsia" w:ascii="宋体" w:hAnsi="宋体" w:eastAsia="宋体" w:cs="宋体"/>
          <w:bCs/>
          <w:color w:val="auto"/>
          <w:sz w:val="24"/>
          <w:szCs w:val="24"/>
          <w:highlight w:val="none"/>
        </w:rPr>
        <w:t>对供应商据此而做出的推论、理解和结论负责。一旦成交，供应商不得以任何借口，提出额外补偿，或延长合同期限的要求。</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8.政府采购政策支持</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8.1本项目的详细要求见磋商须知前附表中。</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供应商享受支持中小企业发展政策优惠的，可用扣除后的最后报价参与价格比较。本项目价格扣除比例及相关要求见</w:t>
      </w:r>
      <w:r>
        <w:rPr>
          <w:rFonts w:hint="eastAsia" w:ascii="宋体" w:hAnsi="宋体" w:eastAsia="宋体" w:cs="宋体"/>
          <w:b/>
          <w:color w:val="auto"/>
          <w:sz w:val="24"/>
          <w:szCs w:val="24"/>
          <w:highlight w:val="none"/>
        </w:rPr>
        <w:t>磋商须知前附表中</w:t>
      </w:r>
      <w:r>
        <w:rPr>
          <w:rFonts w:hint="eastAsia" w:ascii="宋体" w:hAnsi="宋体" w:eastAsia="宋体" w:cs="宋体"/>
          <w:color w:val="auto"/>
          <w:sz w:val="24"/>
          <w:szCs w:val="24"/>
          <w:highlight w:val="none"/>
        </w:rPr>
        <w:t>。</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w:t>
      </w:r>
      <w:r>
        <w:rPr>
          <w:rFonts w:hint="eastAsia" w:ascii="宋体" w:hAnsi="宋体" w:eastAsia="宋体" w:cs="宋体"/>
          <w:b/>
          <w:color w:val="auto"/>
          <w:sz w:val="24"/>
          <w:szCs w:val="24"/>
          <w:highlight w:val="none"/>
        </w:rPr>
        <w:t>磋商须知前附表中</w:t>
      </w:r>
      <w:r>
        <w:rPr>
          <w:rFonts w:hint="eastAsia" w:ascii="宋体" w:hAnsi="宋体" w:eastAsia="宋体" w:cs="宋体"/>
          <w:color w:val="auto"/>
          <w:sz w:val="24"/>
          <w:szCs w:val="24"/>
          <w:highlight w:val="none"/>
        </w:rPr>
        <w:t>。</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其他法律法规强制性规定或扶持政策。本项目的详细要求见</w:t>
      </w:r>
      <w:r>
        <w:rPr>
          <w:rFonts w:hint="eastAsia" w:ascii="宋体" w:hAnsi="宋体" w:eastAsia="宋体" w:cs="宋体"/>
          <w:b/>
          <w:color w:val="auto"/>
          <w:sz w:val="24"/>
          <w:szCs w:val="24"/>
          <w:highlight w:val="none"/>
        </w:rPr>
        <w:t>磋商须知前附表中</w:t>
      </w:r>
      <w:r>
        <w:rPr>
          <w:rFonts w:hint="eastAsia" w:ascii="宋体" w:hAnsi="宋体" w:eastAsia="宋体" w:cs="宋体"/>
          <w:color w:val="auto"/>
          <w:sz w:val="24"/>
          <w:szCs w:val="24"/>
          <w:highlight w:val="none"/>
        </w:rPr>
        <w:t>。</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9.其他说明</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履约保证金。成交供应商在收到采购人或采购代理机构的《成交通知书》后，签订合同前，应按照</w:t>
      </w:r>
      <w:r>
        <w:rPr>
          <w:rFonts w:hint="eastAsia" w:ascii="宋体" w:hAnsi="宋体" w:eastAsia="宋体" w:cs="宋体"/>
          <w:b/>
          <w:color w:val="auto"/>
          <w:sz w:val="24"/>
          <w:szCs w:val="24"/>
          <w:highlight w:val="none"/>
        </w:rPr>
        <w:t>磋商须知前附表中</w:t>
      </w:r>
      <w:r>
        <w:rPr>
          <w:rFonts w:hint="eastAsia" w:ascii="宋体" w:hAnsi="宋体" w:eastAsia="宋体" w:cs="宋体"/>
          <w:color w:val="auto"/>
          <w:sz w:val="24"/>
          <w:szCs w:val="24"/>
          <w:highlight w:val="none"/>
        </w:rPr>
        <w:t>的规定提交履约保证金。成交供应商没有按照规定提交履约保证金的，视为放弃中标，其</w:t>
      </w:r>
      <w:r>
        <w:rPr>
          <w:rFonts w:hint="eastAsia"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不予退还。</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磋商代理服务费。成交供应商是否交纳招标代理服务费及相关要求见</w:t>
      </w:r>
      <w:r>
        <w:rPr>
          <w:rFonts w:hint="eastAsia" w:ascii="宋体" w:hAnsi="宋体" w:eastAsia="宋体" w:cs="宋体"/>
          <w:b/>
          <w:color w:val="auto"/>
          <w:sz w:val="24"/>
          <w:szCs w:val="24"/>
          <w:highlight w:val="none"/>
        </w:rPr>
        <w:t>磋商须知前附表中</w:t>
      </w:r>
      <w:r>
        <w:rPr>
          <w:rFonts w:hint="eastAsia" w:ascii="宋体" w:hAnsi="宋体" w:eastAsia="宋体" w:cs="宋体"/>
          <w:color w:val="auto"/>
          <w:sz w:val="24"/>
          <w:szCs w:val="24"/>
          <w:highlight w:val="none"/>
        </w:rPr>
        <w:t>。</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其他规定。供应商应符合</w:t>
      </w:r>
      <w:r>
        <w:rPr>
          <w:rFonts w:hint="eastAsia" w:ascii="宋体" w:hAnsi="宋体" w:eastAsia="宋体" w:cs="宋体"/>
          <w:b/>
          <w:color w:val="auto"/>
          <w:sz w:val="24"/>
          <w:szCs w:val="24"/>
          <w:highlight w:val="none"/>
        </w:rPr>
        <w:t>磋商须知前附表中</w:t>
      </w:r>
      <w:r>
        <w:rPr>
          <w:rFonts w:hint="eastAsia" w:ascii="宋体" w:hAnsi="宋体" w:eastAsia="宋体" w:cs="宋体"/>
          <w:color w:val="auto"/>
          <w:sz w:val="24"/>
          <w:szCs w:val="24"/>
          <w:highlight w:val="none"/>
        </w:rPr>
        <w:t>规定的其他规定。</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562" w:firstLineChars="200"/>
        <w:textAlignment w:val="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二、磋商文件</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磋商文件的组成</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磋商文件由下列文件组成：</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磋商邀请</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磋商须知</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政府采购合同</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响应文件组成</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技术部分</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第六章</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eastAsia="zh-CN"/>
        </w:rPr>
        <w:t>项目需求</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10.2本章第</w:t>
      </w:r>
      <w:r>
        <w:rPr>
          <w:rFonts w:hint="eastAsia" w:ascii="宋体" w:hAnsi="宋体" w:eastAsia="宋体" w:cs="宋体"/>
          <w:b/>
          <w:color w:val="auto"/>
          <w:sz w:val="24"/>
          <w:szCs w:val="24"/>
          <w:highlight w:val="none"/>
        </w:rPr>
        <w:t>11.1</w:t>
      </w:r>
      <w:r>
        <w:rPr>
          <w:rFonts w:hint="eastAsia" w:ascii="宋体" w:hAnsi="宋体" w:eastAsia="宋体" w:cs="宋体"/>
          <w:color w:val="auto"/>
          <w:sz w:val="24"/>
          <w:szCs w:val="24"/>
          <w:highlight w:val="none"/>
        </w:rPr>
        <w:t>款规定的提交首次响应文件截止时间前对磋商文件澄清或者修改内容，为磋商文件的组成部分。</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10.3磋商小组根据与供应商磋商情况可能实质性变动的内容，包括采购需求中的技术、服务要求以及合同条款，对磋商文件作出的实质性变动是磋商文件的有效组成部分。</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10.4供应商应仔细阅读磋商文件的全部内容，按照磋商文件要求编制响应文件。任何对磋商文件的忽略或误解不能作为响应文件存在缺陷或瑕疵的理由，其风险由供应商承担。</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11.提交首次响应文件的截止时间</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11.1供应商提交首次响应文件的截止时间及地点见</w:t>
      </w:r>
      <w:r>
        <w:rPr>
          <w:rFonts w:hint="eastAsia" w:ascii="宋体" w:hAnsi="宋体" w:eastAsia="宋体" w:cs="宋体"/>
          <w:b/>
          <w:color w:val="auto"/>
          <w:sz w:val="24"/>
          <w:szCs w:val="24"/>
          <w:highlight w:val="none"/>
        </w:rPr>
        <w:t>磋商须知前附表。</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12.磋商文件的澄清与修改</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12.1在本章第11.1款规定的提交首次响应文件截止之日前，采购人、采购代理机构或者磋商小组可以对已发出的磋商文件进行必要的澄清或修改。</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澄清或者修改的内容可能影响响应文件编制的，采购人、采购代理机构应当在本章第11.1款规定的提交首次响应文件截止时间至少5日前，以公告形式上传到《秦皇岛市公共资源交易网》，请所有供应商留意《秦皇岛市公共资源交易网》上相关信息；不足5日的，采购人、采购代理机构应当顺延提交首次响应文件截止时间。</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562" w:firstLineChars="200"/>
        <w:textAlignment w:val="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三、响应文件</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13.一般要求</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13.1供应商应仔细阅读磋商文件的全部内容，按照磋商文件要求编制响应文件，并保证所提供的全部资料的真实性，以使其响应文件对磋商文件做出实质性的响应。</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13.2供应商提交的响应文件及供应商与采购人或采购代理机构、磋商小组就有关磋商的所有来往函电均使用中文。供应商可以提交其他语言的资料，但应附中文注释，在有差异时以中文为主。</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13.3计量单位应使用我国法定计量单位，未列明时应默认为我国法定计量单位。</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13.4响应文件应采用电子文件形式（*.QHDTF格式）。</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13.5供应商应按磋商文件中提供的响应文件格式填写。</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14.响应文件的组成</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14.1响应文件包括下列内容</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14.1.1</w:t>
      </w:r>
      <w:r>
        <w:rPr>
          <w:rFonts w:hint="eastAsia" w:hAnsi="宋体" w:cs="宋体"/>
          <w:color w:val="auto"/>
          <w:sz w:val="24"/>
          <w:szCs w:val="24"/>
          <w:highlight w:val="none"/>
          <w:lang w:eastAsia="zh-CN"/>
        </w:rPr>
        <w:t>供应商磋商代表身份证明</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14.1.2磋商响应声明</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14.1.3报价一览表</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14.1.4</w:t>
      </w:r>
      <w:r>
        <w:rPr>
          <w:rFonts w:hint="eastAsia" w:ascii="宋体" w:hAnsi="宋体" w:eastAsia="宋体" w:cs="宋体"/>
          <w:color w:val="auto"/>
          <w:sz w:val="24"/>
          <w:szCs w:val="24"/>
          <w:highlight w:val="none"/>
        </w:rPr>
        <w:t>偏离表</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14.1.5</w:t>
      </w:r>
      <w:r>
        <w:rPr>
          <w:rFonts w:hint="eastAsia" w:ascii="宋体" w:hAnsi="宋体" w:eastAsia="宋体" w:cs="宋体"/>
          <w:color w:val="auto"/>
          <w:sz w:val="24"/>
          <w:szCs w:val="24"/>
          <w:highlight w:val="none"/>
        </w:rPr>
        <w:t>供应商的资格证明文件</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14.1.</w:t>
      </w:r>
      <w:r>
        <w:rPr>
          <w:rFonts w:hint="eastAsia" w:hAnsi="宋体" w:cs="宋体"/>
          <w:color w:val="auto"/>
          <w:sz w:val="24"/>
          <w:szCs w:val="24"/>
          <w:highlight w:val="none"/>
          <w:lang w:val="en-US" w:eastAsia="zh-CN"/>
        </w:rPr>
        <w:t>6</w:t>
      </w:r>
      <w:r>
        <w:rPr>
          <w:rFonts w:hint="eastAsia" w:hAnsi="宋体" w:cs="宋体"/>
          <w:color w:val="auto"/>
          <w:sz w:val="24"/>
          <w:szCs w:val="24"/>
          <w:highlight w:val="none"/>
          <w:lang w:eastAsia="zh-CN"/>
        </w:rPr>
        <w:t>技术文件</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hAnsi="宋体" w:cs="宋体"/>
          <w:color w:val="auto"/>
          <w:sz w:val="24"/>
          <w:szCs w:val="24"/>
          <w:highlight w:val="none"/>
          <w:lang w:val="en-US" w:eastAsia="zh-CN"/>
        </w:rPr>
        <w:t>7</w:t>
      </w:r>
      <w:r>
        <w:rPr>
          <w:rFonts w:hint="eastAsia" w:hAnsi="宋体" w:cs="宋体"/>
          <w:color w:val="auto"/>
          <w:sz w:val="24"/>
          <w:szCs w:val="24"/>
          <w:highlight w:val="none"/>
          <w:lang w:val="zh-CN"/>
        </w:rPr>
        <w:t>质量和售后服务承诺</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w:t>
      </w:r>
      <w:r>
        <w:rPr>
          <w:rFonts w:hint="eastAsia" w:hAnsi="宋体" w:cs="宋体"/>
          <w:color w:val="auto"/>
          <w:sz w:val="24"/>
          <w:szCs w:val="24"/>
          <w:highlight w:val="none"/>
          <w:lang w:val="en-US" w:eastAsia="zh-CN"/>
        </w:rPr>
        <w:t>8政府采购相关政策文件</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14.1.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供应商认为需提供的其他材料</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14.2在磋商过程中，供应商根据磋商小组要求书面形式提交的最后报价试响应文件的有效组成部分。</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14.3根据《政府采购法》第四十二条的规定，供应商无论成交与否，其响应文件不予退还。</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15.报价</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15.1供应商应当根据磋商文件要求和范围，以人民币报价，以元为单位，保留小数点后两位。</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15.2供应商应按照磋商文件要求进行报价。</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★15.3供应商的报价不得超过采购项目预算。</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15.4本项目的投标最高限价（招标控制价）人民币（小写）</w:t>
      </w:r>
      <w:r>
        <w:rPr>
          <w:rFonts w:hint="eastAsia" w:ascii="宋体" w:hAnsi="宋体" w:eastAsia="宋体" w:cs="宋体"/>
          <w:color w:val="auto"/>
          <w:sz w:val="24"/>
          <w:szCs w:val="24"/>
          <w:highlight w:val="none"/>
          <w:lang w:val="en-US" w:eastAsia="zh-CN"/>
        </w:rPr>
        <w:t>：</w:t>
      </w:r>
      <w:r>
        <w:rPr>
          <w:rFonts w:hint="eastAsia" w:hAnsi="宋体" w:cs="宋体"/>
          <w:b/>
          <w:bCs/>
          <w:color w:val="auto"/>
          <w:sz w:val="24"/>
          <w:szCs w:val="24"/>
          <w:highlight w:val="none"/>
          <w:lang w:val="en-US" w:eastAsia="zh-CN"/>
        </w:rPr>
        <w:t>1000000</w:t>
      </w:r>
      <w:r>
        <w:rPr>
          <w:rFonts w:hint="eastAsia" w:ascii="宋体" w:hAnsi="宋体" w:eastAsia="宋体" w:cs="宋体"/>
          <w:b/>
          <w:color w:val="auto"/>
          <w:sz w:val="24"/>
          <w:szCs w:val="24"/>
          <w:highlight w:val="none"/>
        </w:rPr>
        <w:t>元。</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15.5报价方法：</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1)报价应按照磋商文件要求编制，填报磋商响应声明。</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2)供应商应在响应文件所附的一览表中填报各项投标费用。任何有选择的报价将不予接受。</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3)投标单价为固定价，不得调整，除非采购人向</w:t>
      </w:r>
      <w:r>
        <w:rPr>
          <w:rFonts w:hint="eastAsia" w:hAnsi="宋体" w:cs="宋体"/>
          <w:color w:val="auto"/>
          <w:sz w:val="24"/>
          <w:szCs w:val="24"/>
          <w:highlight w:val="none"/>
          <w:lang w:eastAsia="zh-CN"/>
        </w:rPr>
        <w:t>成交人</w:t>
      </w:r>
      <w:r>
        <w:rPr>
          <w:rFonts w:hint="eastAsia" w:ascii="宋体" w:hAnsi="宋体" w:eastAsia="宋体" w:cs="宋体"/>
          <w:color w:val="auto"/>
          <w:sz w:val="24"/>
          <w:szCs w:val="24"/>
          <w:highlight w:val="none"/>
        </w:rPr>
        <w:t>发出影响价格的变更通知。</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16.证明供应商资格的文件</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rPr>
        <w:t>应提交满足前附表要求的证明文件,该证明文件作为响应文件的一部分。</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16.2供应商为联合体形式的，则应提交联合体各方资格文件、联合体协议，否则将视为非实质响应而被拒绝。</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17.磋商保证金</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17.1前附表规定交纳磋商保证金的，应按前附表规定的保证金数额及形式交纳，不得以现金方式交纳。保证金有效期应当与本章18.1款规定的磋商响应有效期一致。</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17.2供应商为联合体的，可以由联合体中的一方或者共同交纳保证金，其交纳的保证金，对联合体各方均有约束力。</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17.3未按磋商文件规定提交保证金的，采购人或采购代理机构应当拒绝接受供应商的响应文件。</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采购代理机构在成交通知书发出后五个工作日内退还未成交供应商的保证金；在采购合同签定后（采购人如有要求成交人支付履约保证金的，则增加：并向采购人支付履约保证金）五个工作日内退还成交供应商的保证金，但因供应商自身原因导致无法及时退还的除外。</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17.5有下列情形之一的，保证金将不予退还：</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（1）供应商在本章第11.1款规定的提交首次响应文件截止时间后撤回响应文件的；</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（4）供应商与采购人、其他供应商或者采购代理机构恶意串通的；</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（5）磋商文件规定的其他情形。</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★18.响应文件有效期</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18.1响应文件有效期见</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，从本章第11.1款规定的提交首次响应文件截止时间之日起计算。磋商响应有效期不足的将被视为无效响应。</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19.响应文件的签署及规定</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★19.1供应商应根据</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规定提交响应文件。</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响应文件采用单位和个人数字证书签章，按磋商文件要求在相应位置加盖供应商电子印章。由供应商的法定代表人签字或加盖电子印章的，应附法定代表人身份证明；由法定代表人授权代表签字或加盖电子印章的，应附法定代表人授权委托书。任何加行、涂改、增删，改动之处应由供应商的法定代表人或法定代表人授权代表签字或加盖电子印章。未按以上要求签章的，将导致响应文件无效。</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在磋商过程中，供应商按磋商文件规定和磋商小组要求重新提交的响应文件和最后报价，可打印或用不褪色墨水书写，但需经法定代表人或其正式授权的代表签字确认，或者加盖供应商公章。否则，将导致响应文件无效。</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19.4</w:t>
      </w:r>
      <w:r>
        <w:rPr>
          <w:rFonts w:hint="eastAsia" w:ascii="宋体" w:hAnsi="宋体" w:eastAsia="宋体" w:cs="宋体"/>
          <w:color w:val="auto"/>
          <w:sz w:val="24"/>
          <w:szCs w:val="24"/>
          <w:highlight w:val="none"/>
        </w:rPr>
        <w:t>响应文件的制作</w:t>
      </w:r>
    </w:p>
    <w:p>
      <w:pPr>
        <w:pageBreakBefore w:val="0"/>
        <w:kinsoku/>
        <w:wordWrap/>
        <w:overflowPunct/>
        <w:topLinePunct w:val="0"/>
        <w:autoSpaceDE w:val="0"/>
        <w:autoSpaceDN w:val="0"/>
        <w:bidi w:val="0"/>
        <w:spacing w:line="360" w:lineRule="auto"/>
        <w:ind w:left="0" w:lef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登录“秦皇岛市公共资源电子交易平台”，打开【政府采购-文件下载】菜单，点击页面左上角【电子投标文件制作工具下载】按钮，下载“新点投标文件制作软件（河北公共资源版）”；也可在文件下载详情页面点击投标文件制作软件图标下载“新点投标文件制作软件（河北公共资源版）”；或者直接登录新点标桥https://www.bqpoint.com/在下载栏目中搜索“新点投标文件制作软件（河北公共资源版）”进行下载。</w:t>
      </w:r>
    </w:p>
    <w:p>
      <w:pPr>
        <w:pageBreakBefore w:val="0"/>
        <w:kinsoku/>
        <w:wordWrap/>
        <w:overflowPunct/>
        <w:topLinePunct w:val="0"/>
        <w:autoSpaceDE w:val="0"/>
        <w:autoSpaceDN w:val="0"/>
        <w:bidi w:val="0"/>
        <w:spacing w:line="360" w:lineRule="auto"/>
        <w:ind w:left="0" w:leftChars="0" w:firstLine="480" w:firstLineChars="200"/>
        <w:textAlignment w:val="bottom"/>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　</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通过CA秘钥登录电子交易平台自行下载所参加项目的</w:t>
      </w:r>
      <w:r>
        <w:rPr>
          <w:rFonts w:hint="eastAsia" w:ascii="宋体" w:hAnsi="宋体" w:eastAsia="宋体" w:cs="宋体"/>
          <w:b w:val="0"/>
          <w:bCs/>
          <w:color w:val="auto"/>
          <w:sz w:val="24"/>
          <w:szCs w:val="24"/>
          <w:highlight w:val="none"/>
          <w:lang w:eastAsia="zh-CN"/>
        </w:rPr>
        <w:t>竞争性磋商文件</w:t>
      </w:r>
      <w:r>
        <w:rPr>
          <w:rFonts w:hint="eastAsia" w:ascii="宋体" w:hAnsi="宋体" w:eastAsia="宋体" w:cs="宋体"/>
          <w:b w:val="0"/>
          <w:bCs/>
          <w:color w:val="auto"/>
          <w:sz w:val="24"/>
          <w:szCs w:val="24"/>
          <w:highlight w:val="none"/>
        </w:rPr>
        <w:t>及变更澄清文件（如有）。</w:t>
      </w:r>
      <w:r>
        <w:rPr>
          <w:rFonts w:hint="eastAsia" w:ascii="宋体" w:hAnsi="宋体" w:eastAsia="宋体" w:cs="宋体"/>
          <w:b w:val="0"/>
          <w:bCs/>
          <w:color w:val="auto"/>
          <w:sz w:val="24"/>
          <w:szCs w:val="24"/>
          <w:highlight w:val="none"/>
          <w:lang w:eastAsia="zh-CN"/>
        </w:rPr>
        <w:t>竞争性磋商文件</w:t>
      </w:r>
      <w:r>
        <w:rPr>
          <w:rFonts w:hint="eastAsia" w:ascii="宋体" w:hAnsi="宋体" w:eastAsia="宋体" w:cs="宋体"/>
          <w:b w:val="0"/>
          <w:bCs/>
          <w:color w:val="auto"/>
          <w:sz w:val="24"/>
          <w:szCs w:val="24"/>
          <w:highlight w:val="none"/>
        </w:rPr>
        <w:t>格式为“*.QHDZF”，需使用“新点投标文件制作软件（河北公共资源版）”打开。</w:t>
      </w:r>
    </w:p>
    <w:p>
      <w:pPr>
        <w:pageBreakBefore w:val="0"/>
        <w:kinsoku/>
        <w:wordWrap/>
        <w:overflowPunct/>
        <w:topLinePunct w:val="0"/>
        <w:autoSpaceDE w:val="0"/>
        <w:autoSpaceDN w:val="0"/>
        <w:bidi w:val="0"/>
        <w:spacing w:line="360" w:lineRule="auto"/>
        <w:ind w:left="0" w:leftChars="0" w:firstLine="480" w:firstLineChars="200"/>
        <w:textAlignment w:val="bottom"/>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19.3　采购文件格式所要求包含的全部资料应全部制作在</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内，严格按照本项目采购文件所有格式如实填写（不涉及的内容除外），不应存在漏项或缺项，否则将存在</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被拒绝的风险。</w:t>
      </w:r>
    </w:p>
    <w:p>
      <w:pPr>
        <w:pageBreakBefore w:val="0"/>
        <w:kinsoku/>
        <w:wordWrap/>
        <w:overflowPunct/>
        <w:topLinePunct w:val="0"/>
        <w:autoSpaceDE w:val="0"/>
        <w:autoSpaceDN w:val="0"/>
        <w:bidi w:val="0"/>
        <w:spacing w:line="360" w:lineRule="auto"/>
        <w:ind w:left="0" w:leftChars="0" w:firstLine="480" w:firstLineChars="200"/>
        <w:textAlignment w:val="bottom"/>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19.4　</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应使用投标文件编制工具编制</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。并使用数字证书（CA）对</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进行加密、签名。电子交易系统不接收潜在</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未按规定使用数字证书（CA）加密、签名的</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。潜在</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在投标截止时间前可以对</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进行补充、修改或者撤销。</w:t>
      </w:r>
    </w:p>
    <w:p>
      <w:pPr>
        <w:pageBreakBefore w:val="0"/>
        <w:kinsoku/>
        <w:wordWrap/>
        <w:overflowPunct/>
        <w:topLinePunct w:val="0"/>
        <w:autoSpaceDE w:val="0"/>
        <w:autoSpaceDN w:val="0"/>
        <w:bidi w:val="0"/>
        <w:spacing w:line="360" w:lineRule="auto"/>
        <w:ind w:left="0" w:leftChars="0" w:firstLine="480" w:firstLineChars="200"/>
        <w:textAlignment w:val="bottom"/>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19.5　</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以外的任何资料采购人和交易中心将拒收。</w:t>
      </w:r>
    </w:p>
    <w:p>
      <w:pPr>
        <w:pageBreakBefore w:val="0"/>
        <w:widowControl/>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19.6　</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编辑电</w:t>
      </w:r>
      <w:r>
        <w:rPr>
          <w:rFonts w:hint="eastAsia" w:ascii="宋体" w:hAnsi="宋体" w:eastAsia="宋体" w:cs="宋体"/>
          <w:color w:val="auto"/>
          <w:sz w:val="24"/>
          <w:szCs w:val="24"/>
          <w:highlight w:val="none"/>
        </w:rPr>
        <w:t>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时，根据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要求用企业CA秘钥进行签章制作；最后一步生成电子投标文件（*.QHDTF 格式和*.nQHDTF 格式）时，只能用本单位的企业CA秘钥加密。加密的电子投标文件为使用“新点投标文件制作软件（河北公共资源版）”软件制作生成的加密版投标文件。未加密的电子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应与加密的电子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为同时生成的版本。</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562" w:firstLineChars="200"/>
        <w:textAlignment w:val="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四、响应文件的递交</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★20.响应文件的</w:t>
      </w:r>
      <w:r>
        <w:rPr>
          <w:rFonts w:hint="eastAsia" w:ascii="宋体" w:hAnsi="宋体" w:eastAsia="宋体" w:cs="宋体"/>
          <w:color w:val="auto"/>
          <w:sz w:val="24"/>
          <w:szCs w:val="24"/>
          <w:highlight w:val="none"/>
          <w:lang w:eastAsia="zh-CN"/>
        </w:rPr>
        <w:t>加密</w:t>
      </w:r>
    </w:p>
    <w:p>
      <w:pPr>
        <w:pageBreakBefore w:val="0"/>
        <w:kinsoku/>
        <w:wordWrap/>
        <w:overflowPunct/>
        <w:topLinePunct w:val="0"/>
        <w:autoSpaceDE w:val="0"/>
        <w:autoSpaceDN w:val="0"/>
        <w:bidi w:val="0"/>
        <w:spacing w:line="360" w:lineRule="auto"/>
        <w:ind w:left="0" w:leftChars="0" w:firstLine="482" w:firstLineChars="200"/>
        <w:textAlignment w:val="bottom"/>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20.1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编辑电子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时，根据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要求用企业CA秘钥进行签章制作；最后一步生成电子投标文件（*.QHDTF 格式和*.nQHDTF 格式）时，只能用本单位的企业CA秘钥加密。</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.响应文件的递交与接收</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递交截止时间前一小时内，各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授权委托人或法人代表均提前进入网上开标大厅，选择进入对应标段的开标会议区在线签到。登录秦皇岛市网上开标大厅http://110.249.177.252:90/BidOpening/bidopeninghallaction/hall/login，根据操作手册（请在秦皇岛市公共资源交易中心网站-办事指南-交易响应方-“操作手册”中下载）收听观看实时音视频交互效果，在开标过程中如有疑义请及时在讨论组中反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未按时加入开标会议区或未能在开标会议区内全程参与交互的，视为放弃交互和对开评标全过程提疑的权利，</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将无法看到解密指令、废标及澄清、唱标、开标结果等情况，并承担由此导致的一切后果。</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21.2开标前，交易中心将会同相关人员进行验标（检查网上招标系统正常与否、</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是否按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要求缴纳</w:t>
      </w:r>
      <w:r>
        <w:rPr>
          <w:rFonts w:hint="eastAsia" w:ascii="宋体" w:hAnsi="宋体" w:eastAsia="宋体" w:cs="宋体"/>
          <w:color w:val="auto"/>
          <w:kern w:val="0"/>
          <w:sz w:val="24"/>
          <w:szCs w:val="24"/>
          <w:highlight w:val="none"/>
          <w:lang w:eastAsia="zh-CN"/>
        </w:rPr>
        <w:t>磋商保证金</w:t>
      </w:r>
      <w:r>
        <w:rPr>
          <w:rFonts w:hint="eastAsia" w:ascii="宋体" w:hAnsi="宋体" w:eastAsia="宋体" w:cs="宋体"/>
          <w:color w:val="auto"/>
          <w:kern w:val="0"/>
          <w:sz w:val="24"/>
          <w:szCs w:val="24"/>
          <w:highlight w:val="none"/>
        </w:rPr>
        <w:t>），确认无误后开标。</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递交截止时间后，将在系统内公布</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名单，然后通过开标会议区发出</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解密的指令，</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在各自地点按规定时间自行实施远程解密。因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网络与电源不稳定、未按操作手册要求配置软硬件、CA密钥发生故障或用错、故意不在要求时限内完成解密等自身原因，导致</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在规定时间内未能解密、解密失败或解密超时，视为</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撤销其</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，系统内</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将被退回；因采购人原因或网上开标大厅发生故障，导致无法按时完成</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解密或开、评标工作无法进行的，可根据实际情况相应延迟解密时间【友情提示：请使用制作投标文件CA密钥进行解密】。</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21.3因加密电子</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 xml:space="preserve">未能成功上传或误传而导致的解密失败，投标将被拒绝。   </w:t>
      </w:r>
    </w:p>
    <w:p>
      <w:pPr>
        <w:pageBreakBefore w:val="0"/>
        <w:kinsoku/>
        <w:wordWrap/>
        <w:overflowPunct/>
        <w:topLinePunct w:val="0"/>
        <w:bidi w:val="0"/>
        <w:spacing w:line="360" w:lineRule="auto"/>
        <w:ind w:left="0" w:leftChars="0" w:firstLine="512"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pacing w:val="8"/>
          <w:sz w:val="24"/>
          <w:szCs w:val="24"/>
          <w:highlight w:val="none"/>
        </w:rPr>
        <w:t>21.4</w:t>
      </w:r>
      <w:r>
        <w:rPr>
          <w:rFonts w:hint="eastAsia" w:ascii="宋体" w:hAnsi="宋体" w:eastAsia="宋体" w:cs="宋体"/>
          <w:color w:val="auto"/>
          <w:spacing w:val="8"/>
          <w:sz w:val="24"/>
          <w:szCs w:val="24"/>
          <w:highlight w:val="none"/>
          <w:lang w:eastAsia="zh-CN"/>
        </w:rPr>
        <w:t>供应商</w:t>
      </w:r>
      <w:r>
        <w:rPr>
          <w:rFonts w:hint="eastAsia" w:ascii="宋体" w:hAnsi="宋体" w:eastAsia="宋体" w:cs="宋体"/>
          <w:color w:val="auto"/>
          <w:spacing w:val="8"/>
          <w:sz w:val="24"/>
          <w:szCs w:val="24"/>
          <w:highlight w:val="none"/>
        </w:rPr>
        <w:t>必须在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递交截止时间前制作并提交：</w:t>
      </w:r>
    </w:p>
    <w:p>
      <w:pPr>
        <w:pageBreakBefore w:val="0"/>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r>
        <w:rPr>
          <w:rFonts w:hint="eastAsia" w:ascii="宋体" w:hAnsi="宋体" w:eastAsia="宋体" w:cs="宋体"/>
          <w:b/>
          <w:color w:val="auto"/>
          <w:sz w:val="24"/>
          <w:szCs w:val="24"/>
          <w:highlight w:val="none"/>
        </w:rPr>
        <w:t>加密的投标文件（*.QHDTF格式），在</w:t>
      </w:r>
      <w:r>
        <w:rPr>
          <w:rFonts w:hint="eastAsia" w:ascii="宋体" w:hAnsi="宋体" w:eastAsia="宋体" w:cs="宋体"/>
          <w:b/>
          <w:color w:val="auto"/>
          <w:sz w:val="24"/>
          <w:szCs w:val="24"/>
          <w:highlight w:val="none"/>
          <w:lang w:eastAsia="zh-CN"/>
        </w:rPr>
        <w:t>竞争性磋商文件</w:t>
      </w:r>
      <w:r>
        <w:rPr>
          <w:rFonts w:hint="eastAsia" w:ascii="宋体" w:hAnsi="宋体" w:eastAsia="宋体" w:cs="宋体"/>
          <w:b/>
          <w:color w:val="auto"/>
          <w:sz w:val="24"/>
          <w:szCs w:val="24"/>
          <w:highlight w:val="none"/>
        </w:rPr>
        <w:t>领取开始时间至</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递交截止时间前通过“秦皇岛市公共资源电子交易平台【政府采购-投标文件上传（电子）】菜单”上传；上传时必须得到电脑“上传成功”的确认。请</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在上传时认真检查上传</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是否完整、正确。</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因秦皇岛市公共资源电子交易平台问题无法上传文件时，可拨打技术服务电话：4009980000。</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w:t>
      </w:r>
      <w:r>
        <w:rPr>
          <w:rFonts w:hint="eastAsia" w:hAnsi="宋体" w:cs="宋体"/>
          <w:color w:val="auto"/>
          <w:sz w:val="24"/>
          <w:szCs w:val="24"/>
          <w:highlight w:val="none"/>
          <w:lang w:eastAsia="zh-CN"/>
        </w:rPr>
        <w:t>响应文件</w:t>
      </w:r>
      <w:r>
        <w:rPr>
          <w:rFonts w:hint="eastAsia" w:ascii="宋体" w:hAnsi="宋体" w:eastAsia="宋体" w:cs="宋体"/>
          <w:color w:val="auto"/>
          <w:sz w:val="24"/>
          <w:szCs w:val="24"/>
          <w:highlight w:val="none"/>
        </w:rPr>
        <w:t>如果未按规定</w:t>
      </w:r>
      <w:r>
        <w:rPr>
          <w:rFonts w:hint="eastAsia" w:ascii="宋体" w:hAnsi="宋体" w:eastAsia="宋体" w:cs="宋体"/>
          <w:color w:val="auto"/>
          <w:sz w:val="24"/>
          <w:szCs w:val="24"/>
          <w:highlight w:val="none"/>
          <w:lang w:val="zh-CN"/>
        </w:rPr>
        <w:t>加密，</w:t>
      </w:r>
      <w:r>
        <w:rPr>
          <w:rFonts w:hint="eastAsia" w:ascii="宋体" w:hAnsi="宋体" w:eastAsia="宋体" w:cs="宋体"/>
          <w:color w:val="auto"/>
          <w:sz w:val="24"/>
          <w:szCs w:val="24"/>
          <w:highlight w:val="none"/>
        </w:rPr>
        <w:t>采购人或采购代理机构不予受理。</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.响应文件的</w:t>
      </w:r>
      <w:r>
        <w:rPr>
          <w:rFonts w:hint="eastAsia" w:ascii="宋体" w:hAnsi="宋体" w:eastAsia="宋体" w:cs="宋体"/>
          <w:color w:val="auto"/>
          <w:sz w:val="24"/>
          <w:szCs w:val="24"/>
          <w:highlight w:val="none"/>
          <w:lang w:val="zh-CN"/>
        </w:rPr>
        <w:t>补充、修改或者撤回</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22.1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在本章第11.1款规定的提交首次</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截止时间前，补充、修改或者撤回</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，如果要重新上传</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，必须将上次上传的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撤回才可重新上传。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应充分考虑到传送的时间和自身的网络情况，在截止时间前完成上传，逾时传送会被判断为逾期送达，其投标无效。</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可以在提交首次</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截止时间前，对所递交的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进行补充、修改或者撤回。</w:t>
      </w:r>
    </w:p>
    <w:p>
      <w:pPr>
        <w:pageBreakBefore w:val="0"/>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22.3在</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要求的提交首次</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截止时间之后，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不得对其</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进行补充、修改，否则为无效投标。在提交首次</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截止时间之后如要撤销其</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磋商保证金</w:t>
      </w:r>
      <w:r>
        <w:rPr>
          <w:rFonts w:hint="eastAsia" w:ascii="宋体" w:hAnsi="宋体" w:eastAsia="宋体" w:cs="宋体"/>
          <w:color w:val="auto"/>
          <w:kern w:val="0"/>
          <w:sz w:val="24"/>
          <w:szCs w:val="24"/>
          <w:highlight w:val="none"/>
        </w:rPr>
        <w:t>将不予退还。</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22.4因秦皇岛市公共资源交易平台系统在开标前具有保密性，</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在提交首次</w:t>
      </w:r>
      <w:r>
        <w:rPr>
          <w:rFonts w:hint="eastAsia"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截止时间前须自行查看项目进展、变更通知、澄清及回复，因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未及时查看而造成的后果自负。</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w:t>
      </w:r>
      <w:r>
        <w:rPr>
          <w:rFonts w:hint="eastAsia" w:ascii="宋体" w:hAnsi="宋体" w:eastAsia="宋体" w:cs="宋体"/>
          <w:color w:val="auto"/>
          <w:sz w:val="24"/>
          <w:szCs w:val="24"/>
          <w:highlight w:val="none"/>
          <w:lang w:val="zh-CN"/>
        </w:rPr>
        <w:t>补充、修改的内容与</w:t>
      </w:r>
      <w:r>
        <w:rPr>
          <w:rFonts w:hint="eastAsia" w:hAnsi="宋体" w:cs="宋体"/>
          <w:color w:val="auto"/>
          <w:sz w:val="24"/>
          <w:szCs w:val="24"/>
          <w:highlight w:val="none"/>
          <w:lang w:val="zh-CN"/>
        </w:rPr>
        <w:t>响应文件</w:t>
      </w:r>
      <w:r>
        <w:rPr>
          <w:rFonts w:hint="eastAsia" w:ascii="宋体" w:hAnsi="宋体" w:eastAsia="宋体" w:cs="宋体"/>
          <w:color w:val="auto"/>
          <w:sz w:val="24"/>
          <w:szCs w:val="24"/>
          <w:highlight w:val="none"/>
          <w:lang w:val="zh-CN"/>
        </w:rPr>
        <w:t>不一致时，以补充、修改的内容为准。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562" w:firstLineChars="200"/>
        <w:textAlignment w:val="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五、磋商和评审</w:t>
      </w:r>
    </w:p>
    <w:p>
      <w:pPr>
        <w:pStyle w:val="17"/>
        <w:pageBreakBefore w:val="0"/>
        <w:kinsoku/>
        <w:wordWrap/>
        <w:overflowPunct/>
        <w:topLinePunct w:val="0"/>
        <w:bidi w:val="0"/>
        <w:adjustRightInd w:val="0"/>
        <w:snapToGrid w:val="0"/>
        <w:spacing w:before="0" w:beforeLines="0" w:after="0" w:afterLines="0"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23.磋商小组</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23.1磋商与评审由依法组建的磋商小组负责，磋商小组由采购人代表和评审专家共</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23.2采用竞争性磋商方式的政府采购项目，评审专家应当从政府采购评审专家库内相关专业的专家名单中随机抽取。</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24.初步审查</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z w:val="24"/>
          <w:szCs w:val="24"/>
          <w:highlight w:val="none"/>
          <w:lang w:val="zh-CN" w:bidi="zh-CN"/>
        </w:rPr>
        <w:t>初步审查</w:t>
      </w:r>
      <w:r>
        <w:rPr>
          <w:rFonts w:hint="eastAsia" w:ascii="宋体" w:hAnsi="宋体" w:eastAsia="宋体" w:cs="宋体"/>
          <w:color w:val="auto"/>
          <w:sz w:val="24"/>
          <w:szCs w:val="24"/>
          <w:highlight w:val="none"/>
        </w:rPr>
        <w:t>分为资格性检查和符合性检查。</w:t>
      </w:r>
    </w:p>
    <w:p>
      <w:pPr>
        <w:pStyle w:val="17"/>
        <w:pageBreakBefore w:val="0"/>
        <w:kinsoku/>
        <w:wordWrap/>
        <w:overflowPunct/>
        <w:topLinePunct w:val="0"/>
        <w:bidi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资格性检查。根据政府采购法律法规和磋商文件的规定，对响应文件中的资格证明等进行审查，以确定供应商是否具备磋商资格。</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符合性检查。依据磋商文件的规定，从响应文件的有效性、完整性和对磋商文件的响应程度进行审查，以确定是否对磋商文件的实质性要求作出响应。</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★24.2除可变动的技术、服务要求以及合同草案条款外，首次提交的响应文件有下列情况之一，其响应文件无效，磋商小组应当告知有关供应商。</w:t>
      </w:r>
    </w:p>
    <w:p>
      <w:pPr>
        <w:pStyle w:val="17"/>
        <w:pageBreakBefore w:val="0"/>
        <w:numPr>
          <w:ilvl w:val="0"/>
          <w:numId w:val="3"/>
        </w:numPr>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应交未交保证金或金额不足、保证金形式不符合磋商文件要求的；</w:t>
      </w:r>
    </w:p>
    <w:p>
      <w:pPr>
        <w:pStyle w:val="17"/>
        <w:pageBreakBefore w:val="0"/>
        <w:numPr>
          <w:ilvl w:val="0"/>
          <w:numId w:val="3"/>
        </w:numPr>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未按照磋商文件规定要求加密、签署、盖章的；</w:t>
      </w:r>
    </w:p>
    <w:p>
      <w:pPr>
        <w:pStyle w:val="17"/>
        <w:pageBreakBefore w:val="0"/>
        <w:numPr>
          <w:ilvl w:val="0"/>
          <w:numId w:val="3"/>
        </w:numPr>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响应有效期不足的；</w:t>
      </w:r>
    </w:p>
    <w:p>
      <w:pPr>
        <w:pStyle w:val="17"/>
        <w:pageBreakBefore w:val="0"/>
        <w:numPr>
          <w:ilvl w:val="0"/>
          <w:numId w:val="3"/>
        </w:numPr>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未按照磋商文件规定提供资格证明材料的；</w:t>
      </w:r>
    </w:p>
    <w:p>
      <w:pPr>
        <w:pStyle w:val="17"/>
        <w:pageBreakBefore w:val="0"/>
        <w:numPr>
          <w:ilvl w:val="0"/>
          <w:numId w:val="3"/>
        </w:numPr>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未满足标注★的实质性要求；</w:t>
      </w:r>
    </w:p>
    <w:p>
      <w:pPr>
        <w:pStyle w:val="17"/>
        <w:pageBreakBefore w:val="0"/>
        <w:numPr>
          <w:ilvl w:val="0"/>
          <w:numId w:val="3"/>
        </w:numPr>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供应商的报价严重偏离市场价格，恶意参与竞争的；</w:t>
      </w:r>
    </w:p>
    <w:p>
      <w:pPr>
        <w:pStyle w:val="17"/>
        <w:pageBreakBefore w:val="0"/>
        <w:numPr>
          <w:ilvl w:val="0"/>
          <w:numId w:val="3"/>
        </w:numPr>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其他不符合法律、规章、规范性文件和磋商文件规定的。</w:t>
      </w:r>
    </w:p>
    <w:p>
      <w:pPr>
        <w:pStyle w:val="17"/>
        <w:pageBreakBefore w:val="0"/>
        <w:kinsoku/>
        <w:wordWrap/>
        <w:overflowPunct/>
        <w:topLinePunct w:val="0"/>
        <w:bidi w:val="0"/>
        <w:adjustRightInd w:val="0"/>
        <w:snapToGrid w:val="0"/>
        <w:spacing w:before="0" w:beforeLines="0" w:after="0" w:afterLines="0" w:line="360" w:lineRule="auto"/>
        <w:ind w:left="0" w:lef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25.澄清</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磋商小组在对响应文件（包括首次响应文件、重新提交的响应文件）的有效性、完整性和响应程度进行审查时，可以要求供应商对响应文件中含义不明确、同类问题表述不一致或者有明显文字和计算错误的内容等作出必要的澄清、说明或者更正。供应商的澄清、说明或者更正应当采用书面形式，由其法定代表人或其授权代表签字或者加盖公章。供应商的澄清、说明或者更正不得超出响应文件的范围或者改变响应文件的实质性内容。</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rPr>
        <w:t>磋商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初审结束后，磋商小组所有成员应当集中与单一供应商分别进行磋商，并给予所有参加磋商的供应商平等的磋商机会。供应商应派其法定代表人或委托代理人参加磋商。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26.2在磋商过程中，磋商小组可以根据磋商文件和磋商情况实质性变动采购需求中的技术、服务要求以及合同草案条款，但不得变动磋商文件中的其他内容。实质性变动的内容，须经采购人代表确认。</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对磋商文件作出的实质性变动是磋商文件的有效组成部分，磋商小组应当及时以书面形式同时通知所有参加磋商的供应商。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26.3磋商文件不能详细列明采购标的的技术、服务要求，需经磋商由供应商提供最终设计方案或解决方案的，磋商结束后，磋商小组应当按照少数服从多数的原则投票推荐3家以上供应商的设计方案或者解决方案。</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26.4磋商小组应当根据实际情况与供应商进行价格磋商，并确定价格磋商的轮次。</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26.5已提交响应文件的供应商，在提交最后报价之前，可以根据磋商情况退出磋商。采购人、采购代理机构应当退还退出磋商的供应商的磋商保证金。</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★26.6磋商结束后，供应商按照磋商小组要求重新提交的响应文件，不满足磋商文件及变动后的技术、服务要求以及合同草案条款的实质性要求的，将视为无效响应文件。</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27.</w:t>
      </w:r>
      <w:r>
        <w:rPr>
          <w:rFonts w:hint="eastAsia" w:ascii="宋体" w:hAnsi="宋体" w:eastAsia="宋体" w:cs="宋体"/>
          <w:b w:val="0"/>
          <w:bCs/>
          <w:color w:val="auto"/>
          <w:sz w:val="24"/>
          <w:szCs w:val="24"/>
          <w:highlight w:val="none"/>
        </w:rPr>
        <w:t>报价</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27.1磋商结束后，磋商小组应当要求所有实质性响应的供应商在规定时间内提交最后报价，提交最后报价的供应商不得少于3家。</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27.2最后报价是供应商响应文件的有效组成部分。符合《政府采购竞争性磋商采购方式管理暂行办法》的，提交最后报价的供应商可以为2家。</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28.</w:t>
      </w:r>
      <w:r>
        <w:rPr>
          <w:rFonts w:hint="eastAsia" w:ascii="宋体" w:hAnsi="宋体" w:eastAsia="宋体" w:cs="宋体"/>
          <w:b w:val="0"/>
          <w:bCs/>
          <w:color w:val="auto"/>
          <w:sz w:val="24"/>
          <w:szCs w:val="24"/>
          <w:highlight w:val="none"/>
        </w:rPr>
        <w:t>评审</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28.1经磋商确定最终采购需求和提交最后报价的供应商后，由磋商小组采用综合评分法对提交最后报价的供应商的响应文件和最后报价进行综合评分。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综合评分法，是指响应文件满足磋商文件全部实质性要求且按评审因素的量化指标评审得分最高的供应商为成交候选供应商的评审方法。</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28.2评审办法及标准见第三章。评审时，磋商小组各成员应当独立对每个有效响应的文件进行评价、打分，然后汇总每个供应商每项评分因素的得分。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28.3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29.</w:t>
      </w:r>
      <w:r>
        <w:rPr>
          <w:rFonts w:hint="eastAsia" w:ascii="宋体" w:hAnsi="宋体" w:eastAsia="宋体" w:cs="宋体"/>
          <w:b w:val="0"/>
          <w:bCs/>
          <w:color w:val="auto"/>
          <w:sz w:val="24"/>
          <w:szCs w:val="24"/>
          <w:highlight w:val="none"/>
        </w:rPr>
        <w:t>提出成交供应商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29.1磋商小组应当根据综合评分情况，按照评审得分由高到低顺序推荐3名以上成交候选供应商，并编写评审报告。</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29.2采购人授权磋商小组确定成交供应商的，磋商小组在评审报告中予以确定。</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磋商终止</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30.1出现下列情形之一的，采购人或者采购代理机构应当终止竞争性磋商采购活动，在财政部指定的媒体上发布项目终止公告并说明原因，重新开展采购活动：</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31.</w:t>
      </w:r>
      <w:r>
        <w:rPr>
          <w:rFonts w:hint="eastAsia" w:ascii="宋体" w:hAnsi="宋体" w:eastAsia="宋体" w:cs="宋体"/>
          <w:b w:val="0"/>
          <w:bCs/>
          <w:color w:val="auto"/>
          <w:sz w:val="24"/>
          <w:szCs w:val="24"/>
          <w:highlight w:val="none"/>
        </w:rPr>
        <w:t>重新评审</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31.1除资格性检查认定错误、分值汇总计算错误、分项评分超出评分标准范围、客观分评分不一致、经磋商小组一致认定评分畸高、畸低的情形外，采购人或者采购代理机构不得以任何理由组织重新评审。</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32.</w:t>
      </w:r>
      <w:r>
        <w:rPr>
          <w:rFonts w:hint="eastAsia" w:ascii="宋体" w:hAnsi="宋体" w:eastAsia="宋体" w:cs="宋体"/>
          <w:b w:val="0"/>
          <w:bCs/>
          <w:color w:val="auto"/>
          <w:sz w:val="24"/>
          <w:szCs w:val="24"/>
          <w:highlight w:val="none"/>
        </w:rPr>
        <w:t>保密及串通行为</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32.1磋商小组成员以及评</w:t>
      </w:r>
      <w:r>
        <w:rPr>
          <w:rFonts w:hint="eastAsia" w:ascii="宋体" w:hAnsi="宋体" w:eastAsia="宋体" w:cs="宋体"/>
          <w:color w:val="auto"/>
          <w:sz w:val="24"/>
          <w:szCs w:val="24"/>
          <w:highlight w:val="none"/>
        </w:rPr>
        <w:t>审工作有关的人员不得泄露评审情况及评审过程中获悉的国家秘密、商业秘密。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562" w:firstLineChars="200"/>
        <w:textAlignment w:val="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六、成交结果信息公布于授予合同</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33.</w:t>
      </w:r>
      <w:r>
        <w:rPr>
          <w:rFonts w:hint="eastAsia" w:ascii="宋体" w:hAnsi="宋体" w:eastAsia="宋体" w:cs="宋体"/>
          <w:b w:val="0"/>
          <w:bCs/>
          <w:color w:val="auto"/>
          <w:sz w:val="24"/>
          <w:szCs w:val="24"/>
          <w:highlight w:val="none"/>
        </w:rPr>
        <w:t>成交信息的公布</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33.1成交供应商确定后2个工作日内，采购人或者采购代理机构应当在在省级以上财政部门指定的政府采购信息发布媒体上公告成交结果，同时向成交供应商发出成交通知书，并将磋商文件随成交结果同时公告。</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34.</w:t>
      </w:r>
      <w:r>
        <w:rPr>
          <w:rFonts w:hint="eastAsia" w:ascii="宋体" w:hAnsi="宋体" w:eastAsia="宋体" w:cs="宋体"/>
          <w:b w:val="0"/>
          <w:bCs/>
          <w:color w:val="auto"/>
          <w:sz w:val="24"/>
          <w:szCs w:val="24"/>
          <w:highlight w:val="none"/>
        </w:rPr>
        <w:t>询问与质疑</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34.1供应商对政府采购活动事项有疑问的，可以向采购人或采购代理机构提出询问。</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34.2供应商认为采购文件、采购过程和中标、成交结果使自己的权益受到损害的，可以依据《中华人民共和国财政部令第 94 号--政府采购质疑和投诉办法》第十二条规定，以书面形式向采购人或采购代理机构提出质疑。</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35.</w:t>
      </w:r>
      <w:r>
        <w:rPr>
          <w:rFonts w:hint="eastAsia" w:ascii="宋体" w:hAnsi="宋体" w:eastAsia="宋体" w:cs="宋体"/>
          <w:b w:val="0"/>
          <w:bCs/>
          <w:color w:val="auto"/>
          <w:sz w:val="24"/>
          <w:szCs w:val="24"/>
          <w:highlight w:val="none"/>
        </w:rPr>
        <w:t>成交通知</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35.1成交供应商确定后，采购人或者采购代理机构将以书面形式向成交供应商发出成交通知书，成交通知书对采购人和成交供应商具有同等法律效力。</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35.2成交通知书是合同文件的组成部分。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35.3成交供应商在收到成交通知书后，应按照磋商文件中合同草案的规定，向采购人提交履约保证金，具体要求见前附表。联合体成交的，履约保证金以联合体各方或联合体中牵头人的名义提交。</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35.4成交供应商没有按照本章第35.3款规定提交履约保证金的，视为放弃成交资格，其磋商保证金不予退还。</w:t>
      </w:r>
    </w:p>
    <w:p>
      <w:pPr>
        <w:pStyle w:val="17"/>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60"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36.</w:t>
      </w:r>
      <w:r>
        <w:rPr>
          <w:rFonts w:hint="eastAsia" w:ascii="宋体" w:hAnsi="宋体" w:eastAsia="宋体" w:cs="宋体"/>
          <w:b w:val="0"/>
          <w:bCs/>
          <w:color w:val="auto"/>
          <w:sz w:val="24"/>
          <w:szCs w:val="24"/>
          <w:highlight w:val="none"/>
        </w:rPr>
        <w:t>签订合同</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36.1磋商文件和成交供应商的响应文件及其补充的响应文件等均为签订政府采购合同的依据。</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36.2成交供应商应当在成交通知书发出之日起30日内，与采购人签订政府采购合同。</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36.3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36.4自政府采购合同签</w:t>
      </w:r>
      <w:r>
        <w:rPr>
          <w:rFonts w:hint="eastAsia" w:ascii="宋体" w:hAnsi="宋体" w:eastAsia="宋体" w:cs="宋体"/>
          <w:color w:val="auto"/>
          <w:sz w:val="24"/>
          <w:szCs w:val="24"/>
          <w:highlight w:val="none"/>
        </w:rPr>
        <w:t>订之日起</w:t>
      </w: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个工作日内，本项目政府采购合同在财政部指定的媒体上公告，具体见</w:t>
      </w: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，但政府采购合同中涉及国家秘密、商业秘密的内容除外。</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36.5成交供应商有下列情形之一的，责令限期改正，情节严重的，列入不良行为记录名单，在1至3年内禁止参加政府采购活动，并予以通报：</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（1）成交后无正当理由不与采购人签订合同的；</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（2）未按照采购文件确定的事项签订政府采购合同，或者与采购人另行订立背离合同实质性内容的协议的；</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pPr>
        <w:pStyle w:val="17"/>
        <w:keepNext w:val="0"/>
        <w:keepLines w:val="0"/>
        <w:pageBreakBefore w:val="0"/>
        <w:widowControl w:val="0"/>
        <w:kinsoku/>
        <w:wordWrap/>
        <w:overflowPunct/>
        <w:topLinePunct w:val="0"/>
        <w:autoSpaceDE/>
        <w:autoSpaceDN/>
        <w:bidi w:val="0"/>
        <w:snapToGrid w:val="0"/>
        <w:spacing w:before="0" w:beforeLines="0" w:after="0" w:afterLines="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（4）违反法律法规相关规定的。</w:t>
      </w:r>
      <w:bookmarkStart w:id="10" w:name="_Toc430278434"/>
      <w:bookmarkStart w:id="11" w:name="_Toc416273240"/>
    </w:p>
    <w:p>
      <w:pPr>
        <w:pStyle w:val="25"/>
        <w:outlineLvl w:val="1"/>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sz w:val="30"/>
          <w:szCs w:val="30"/>
          <w:highlight w:val="none"/>
        </w:rPr>
        <w:t>第三章</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评审办法及标准</w:t>
      </w:r>
    </w:p>
    <w:p>
      <w:pPr>
        <w:spacing w:line="500" w:lineRule="exact"/>
        <w:ind w:firstLine="482" w:firstLineChars="200"/>
        <w:outlineLvl w:val="2"/>
        <w:rPr>
          <w:rFonts w:hint="eastAsia" w:ascii="宋体" w:hAnsi="宋体" w:eastAsia="宋体" w:cs="宋体"/>
          <w:b/>
          <w:color w:val="auto"/>
          <w:sz w:val="24"/>
          <w:szCs w:val="22"/>
          <w:highlight w:val="none"/>
          <w:shd w:val="clear" w:color="auto" w:fill="auto"/>
        </w:rPr>
      </w:pPr>
      <w:bookmarkStart w:id="12" w:name="_Toc23042"/>
      <w:bookmarkStart w:id="13" w:name="_Toc9620"/>
      <w:bookmarkStart w:id="14" w:name="_Toc21626"/>
      <w:bookmarkStart w:id="15" w:name="_Toc18346"/>
      <w:bookmarkStart w:id="16" w:name="_Toc13848"/>
      <w:r>
        <w:rPr>
          <w:rFonts w:hint="eastAsia" w:ascii="宋体" w:hAnsi="宋体" w:eastAsia="宋体" w:cs="宋体"/>
          <w:b/>
          <w:color w:val="auto"/>
          <w:sz w:val="24"/>
          <w:szCs w:val="22"/>
          <w:highlight w:val="none"/>
          <w:shd w:val="clear" w:color="auto" w:fill="auto"/>
        </w:rPr>
        <w:t>一、磋商及评审原则</w:t>
      </w:r>
      <w:bookmarkEnd w:id="12"/>
      <w:bookmarkEnd w:id="13"/>
      <w:bookmarkEnd w:id="14"/>
      <w:bookmarkEnd w:id="15"/>
      <w:bookmarkEnd w:id="16"/>
    </w:p>
    <w:p>
      <w:pPr>
        <w:spacing w:line="500" w:lineRule="exact"/>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磋商小组成员应当按照客观、公正、审慎的原则，根据磋商文件规定的评审程序、评审方法和评审标准进行独立评审。磋商文件内容违反国家有关强制性规定的，磋商小组应当停止评审并向采购人或者采购代理机构说明情况</w:t>
      </w:r>
    </w:p>
    <w:p>
      <w:pPr>
        <w:spacing w:line="500" w:lineRule="exact"/>
        <w:ind w:firstLine="482" w:firstLineChars="200"/>
        <w:outlineLvl w:val="2"/>
        <w:rPr>
          <w:rFonts w:hint="eastAsia" w:ascii="宋体" w:hAnsi="宋体" w:eastAsia="宋体" w:cs="宋体"/>
          <w:b/>
          <w:color w:val="auto"/>
          <w:sz w:val="24"/>
          <w:highlight w:val="none"/>
          <w:shd w:val="clear" w:color="auto" w:fill="auto"/>
        </w:rPr>
      </w:pPr>
      <w:bookmarkStart w:id="17" w:name="_Toc6438"/>
      <w:bookmarkStart w:id="18" w:name="_Toc4632"/>
      <w:bookmarkStart w:id="19" w:name="_Toc20431"/>
      <w:bookmarkStart w:id="20" w:name="_Toc5659"/>
      <w:bookmarkStart w:id="21" w:name="_Toc29543"/>
      <w:r>
        <w:rPr>
          <w:rFonts w:hint="eastAsia" w:ascii="宋体" w:hAnsi="宋体" w:eastAsia="宋体" w:cs="宋体"/>
          <w:b/>
          <w:color w:val="auto"/>
          <w:sz w:val="24"/>
          <w:highlight w:val="none"/>
          <w:shd w:val="clear" w:color="auto" w:fill="auto"/>
        </w:rPr>
        <w:t>二、磋商和评审程序</w:t>
      </w:r>
      <w:bookmarkEnd w:id="17"/>
      <w:bookmarkEnd w:id="18"/>
      <w:bookmarkEnd w:id="19"/>
      <w:bookmarkEnd w:id="20"/>
      <w:bookmarkEnd w:id="21"/>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首次响应文件递交之后，由各供应商法定代表人或委托代理人现场确定磋商顺序。磋商小组先做准备工作，再对各供应商的响应文件进行资格及符合性评审；然后进行一对一形式的磋商，磋商的轮次由磋商小组现场决定；磋商完成后，要求供应商进行磋商内容确认及最后报价；最后按本文件规定的内容和标准进行综合打分。</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1、评审工作准备</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磋商前，采购人和采购代理机构向磋商小组成员宣布磋商工作规则。磋商小组成员熟悉磋商文件。磋商小组成员对与自己有利害关系的磋商项目应当主动提出回避。</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磋商小组还应熟悉如下情况：</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（1）听取采购人或者其委托的代理机构对项目情况的介绍。</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阅读、研究竞争性磋商文件和相关资料，获取磋商和评审所需要的重要信息和数据，至少应了解和熟悉以下内容：磋商的目标、采购项目的范围和性质，竞争性磋商文件规定的主要技术要求、标准和商务条款。</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（3）确认竞争性磋商文件规定的磋商内容及磋商和评审过程中需要考虑的相关因素。</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2、对申请供应商进行资格审查</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首先对申请供应商进行资格审查，审查内容详见“资格审查表（附表1）”。</w:t>
      </w:r>
      <w:bookmarkStart w:id="44" w:name="_GoBack"/>
      <w:bookmarkEnd w:id="44"/>
      <w:r>
        <w:rPr>
          <w:rFonts w:hint="eastAsia" w:ascii="宋体" w:hAnsi="宋体" w:eastAsia="宋体" w:cs="宋体"/>
          <w:color w:val="auto"/>
          <w:sz w:val="24"/>
          <w:highlight w:val="none"/>
          <w:shd w:val="clear" w:color="auto" w:fill="auto"/>
        </w:rPr>
        <w:t>其中有一项不通过的按无效响应处理，磋商小组应当告知递交响应文件的供应商。</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3、响应文件的符合性审查</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对响应文件的符合性进行审查，审查内容见“符合性审查表（附表2）”，其中有一项不通过的按无效响应处理，磋商小组应当告知递交响应文件的供应商。</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在对响应文件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供应商的澄清、说明或者更正应当由法定代表人或其授权代表签字（或签章）或者加盖单位公章。</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磋商活动中，应当给予每个实质性响应供应商进行磋商和报价相同的机会；磋商双方不得透露与磋商有关的其他供应商的技术资料、价格和其他任何信息。对实质性响应供应商需要澄清或修正响应文件提供较充分的时间，澄清或修正响应文件逾时不交的，可视同供应商放弃磋商。</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4、竞争性磋商</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资格及符合性评审完成后，按磋商顺序，磋商小组与各供应商分别进行磋商。磋商小组所有成员应当集中与通过符合性评审的单一供应商分别进行磋商（根据项目需要将可能安排多轮磋商），并给予所有参加磋商的供应商平等的磋商机会。磋商仅针对可磋商内容进行，包括技术、服务及合同主要条款。</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参加磋商的供应商应由其法定代表人或本项目的授权代表作为磋商代表，磋商过程中应有商务及技术等人员（总人数不超过</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人）共同参加磋商。磋商过程文件须由供应商的法定代表人或其委托代理人签字（或签章）。</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磋商过程中可能实质性变动的内容为项目技术、服务和合同草案的其他内容。可以根据磋商文件和磋商情况实质性变动以上内容，并以书面形式同时通知所有参加磋商的供应商。</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供应商接受上述实质性变动的，应当按照磋商文件的变动情况和磋商小组的要求确认实质性变动的内容，并对实质性变动的内容做出响应。响应材料由其法定代表人或委托代理人签字（或签章）或者加盖单位公章。</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采购人或采购代理机构将对磋商结果进行记录，磋商记录（包括磋商过程中明确的技术、服务要求和合同草案条款）须由供应商的法定代表人其委托代理人签字（或签章）确认。经签字（或签章）确认后的磋商记录将作为成交后采购人与供应商签署合同的依据，具有法律效力。</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5、磋商内容确认及最后报价</w:t>
      </w:r>
    </w:p>
    <w:p>
      <w:pPr>
        <w:spacing w:line="500" w:lineRule="exact"/>
        <w:ind w:firstLine="482" w:firstLineChars="200"/>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磋商结束后，各</w:t>
      </w:r>
      <w:r>
        <w:rPr>
          <w:rFonts w:hint="eastAsia" w:ascii="宋体" w:hAnsi="宋体" w:cs="宋体"/>
          <w:b/>
          <w:bCs/>
          <w:color w:val="auto"/>
          <w:sz w:val="24"/>
          <w:szCs w:val="22"/>
          <w:highlight w:val="none"/>
          <w:shd w:val="clear" w:color="auto" w:fill="auto"/>
          <w:lang w:eastAsia="zh-CN"/>
        </w:rPr>
        <w:t>供应商</w:t>
      </w:r>
      <w:r>
        <w:rPr>
          <w:rFonts w:hint="eastAsia" w:ascii="宋体" w:hAnsi="宋体" w:eastAsia="宋体" w:cs="宋体"/>
          <w:b/>
          <w:bCs/>
          <w:color w:val="auto"/>
          <w:sz w:val="24"/>
          <w:szCs w:val="22"/>
          <w:highlight w:val="none"/>
          <w:shd w:val="clear" w:color="auto" w:fill="auto"/>
        </w:rPr>
        <w:t>需实时关注网上开标大厅“互动交流”模块，</w:t>
      </w:r>
      <w:r>
        <w:rPr>
          <w:rFonts w:hint="eastAsia" w:ascii="宋体" w:hAnsi="宋体" w:eastAsia="宋体" w:cs="宋体"/>
          <w:b/>
          <w:bCs/>
          <w:color w:val="auto"/>
          <w:sz w:val="24"/>
          <w:szCs w:val="22"/>
          <w:highlight w:val="none"/>
          <w:shd w:val="clear" w:color="auto" w:fill="auto"/>
          <w:lang w:eastAsia="zh-CN"/>
        </w:rPr>
        <w:t>遵从</w:t>
      </w:r>
      <w:r>
        <w:rPr>
          <w:rFonts w:hint="eastAsia" w:ascii="宋体" w:hAnsi="宋体" w:eastAsia="宋体" w:cs="宋体"/>
          <w:b/>
          <w:bCs/>
          <w:color w:val="auto"/>
          <w:sz w:val="24"/>
          <w:szCs w:val="22"/>
          <w:highlight w:val="none"/>
          <w:shd w:val="clear" w:color="auto" w:fill="auto"/>
        </w:rPr>
        <w:t>开标主持人发出的指令（例：开始二次报价等），如因</w:t>
      </w:r>
      <w:r>
        <w:rPr>
          <w:rFonts w:hint="eastAsia" w:ascii="宋体" w:hAnsi="宋体" w:cs="宋体"/>
          <w:b/>
          <w:bCs/>
          <w:color w:val="auto"/>
          <w:sz w:val="24"/>
          <w:szCs w:val="22"/>
          <w:highlight w:val="none"/>
          <w:shd w:val="clear" w:color="auto" w:fill="auto"/>
          <w:lang w:eastAsia="zh-CN"/>
        </w:rPr>
        <w:t>供应商</w:t>
      </w:r>
      <w:r>
        <w:rPr>
          <w:rFonts w:hint="eastAsia" w:ascii="宋体" w:hAnsi="宋体" w:eastAsia="宋体" w:cs="宋体"/>
          <w:b/>
          <w:bCs/>
          <w:color w:val="auto"/>
          <w:sz w:val="24"/>
          <w:szCs w:val="22"/>
          <w:highlight w:val="none"/>
          <w:shd w:val="clear" w:color="auto" w:fill="auto"/>
        </w:rPr>
        <w:t>自身原因未看到或不遵从指令导致的未能完成对应操作而产生的后果，由</w:t>
      </w:r>
      <w:r>
        <w:rPr>
          <w:rFonts w:hint="eastAsia" w:ascii="宋体" w:hAnsi="宋体" w:cs="宋体"/>
          <w:b/>
          <w:bCs/>
          <w:color w:val="auto"/>
          <w:sz w:val="24"/>
          <w:szCs w:val="22"/>
          <w:highlight w:val="none"/>
          <w:shd w:val="clear" w:color="auto" w:fill="auto"/>
          <w:lang w:eastAsia="zh-CN"/>
        </w:rPr>
        <w:t>供应商</w:t>
      </w:r>
      <w:r>
        <w:rPr>
          <w:rFonts w:hint="eastAsia" w:ascii="宋体" w:hAnsi="宋体" w:eastAsia="宋体" w:cs="宋体"/>
          <w:b/>
          <w:bCs/>
          <w:color w:val="auto"/>
          <w:sz w:val="24"/>
          <w:szCs w:val="22"/>
          <w:highlight w:val="none"/>
          <w:shd w:val="clear" w:color="auto" w:fill="auto"/>
        </w:rPr>
        <w:t>自行承担。</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出现下述情形之一的，视为供应商未实质性响应磋商文件：</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（1）供应商未按要求确认磋商小组确定的本项目最终技术、服务要求和合同草案条款的；</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（2）供应商所报价格超过本项目采购最高限价的；</w:t>
      </w:r>
    </w:p>
    <w:p>
      <w:pPr>
        <w:spacing w:line="500" w:lineRule="exact"/>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eastAsia="zh-CN"/>
        </w:rPr>
        <w:t>）其他法律法规规定的情形。</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6、综合评审打分</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经磋商确定最终采购需求和提交最后报价的供应商后，由磋商小组采用综合评分法对提交最后报价的供应商的响应文件和最后报价进行综合评分（详见综合评分表附表3）。</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每个供应商的得分为磋商小组各成员对该供应商打分的算术平均值，保留两位小数。</w:t>
      </w:r>
    </w:p>
    <w:p>
      <w:pPr>
        <w:spacing w:line="500" w:lineRule="exact"/>
        <w:ind w:firstLine="482" w:firstLineChars="200"/>
        <w:outlineLvl w:val="2"/>
        <w:rPr>
          <w:rFonts w:hint="eastAsia" w:ascii="宋体" w:hAnsi="宋体" w:eastAsia="宋体" w:cs="宋体"/>
          <w:b/>
          <w:bCs/>
          <w:color w:val="auto"/>
          <w:sz w:val="24"/>
          <w:highlight w:val="none"/>
          <w:shd w:val="clear" w:color="auto" w:fill="auto"/>
        </w:rPr>
      </w:pPr>
      <w:bookmarkStart w:id="22" w:name="_Toc16631"/>
      <w:bookmarkStart w:id="23" w:name="_Toc23388"/>
      <w:bookmarkStart w:id="24" w:name="_Toc23924"/>
      <w:bookmarkStart w:id="25" w:name="_Toc4188"/>
      <w:bookmarkStart w:id="26" w:name="_Toc25139"/>
      <w:r>
        <w:rPr>
          <w:rFonts w:hint="eastAsia" w:ascii="宋体" w:hAnsi="宋体" w:eastAsia="宋体" w:cs="宋体"/>
          <w:b/>
          <w:bCs/>
          <w:color w:val="auto"/>
          <w:sz w:val="24"/>
          <w:highlight w:val="none"/>
          <w:shd w:val="clear" w:color="auto" w:fill="auto"/>
        </w:rPr>
        <w:t>三、报价得分细则</w:t>
      </w:r>
      <w:bookmarkEnd w:id="22"/>
      <w:bookmarkEnd w:id="23"/>
      <w:bookmarkEnd w:id="24"/>
      <w:bookmarkEnd w:id="25"/>
      <w:bookmarkEnd w:id="26"/>
    </w:p>
    <w:p>
      <w:pPr>
        <w:spacing w:line="420" w:lineRule="exact"/>
        <w:ind w:firstLine="480"/>
        <w:rPr>
          <w:rFonts w:hint="eastAsia" w:ascii="宋体" w:hAnsi="宋体" w:eastAsia="宋体" w:cs="宋体"/>
          <w:b/>
          <w:bCs/>
          <w:color w:val="auto"/>
          <w:spacing w:val="8"/>
          <w:sz w:val="24"/>
          <w:highlight w:val="none"/>
          <w:shd w:val="clear" w:color="auto" w:fill="auto"/>
        </w:rPr>
      </w:pPr>
      <w:r>
        <w:rPr>
          <w:rFonts w:hint="eastAsia" w:ascii="宋体" w:hAnsi="宋体" w:eastAsia="宋体" w:cs="宋体"/>
          <w:b/>
          <w:bCs/>
          <w:color w:val="auto"/>
          <w:spacing w:val="8"/>
          <w:sz w:val="24"/>
          <w:highlight w:val="none"/>
          <w:shd w:val="clear" w:color="auto" w:fill="auto"/>
        </w:rPr>
        <w:t>报价得分</w:t>
      </w:r>
      <w:r>
        <w:rPr>
          <w:rFonts w:hint="eastAsia" w:ascii="宋体" w:hAnsi="宋体" w:cs="宋体"/>
          <w:b/>
          <w:bCs/>
          <w:color w:val="auto"/>
          <w:spacing w:val="8"/>
          <w:sz w:val="24"/>
          <w:highlight w:val="none"/>
          <w:shd w:val="clear" w:color="auto" w:fill="auto"/>
          <w:lang w:val="en-US" w:eastAsia="zh-CN"/>
        </w:rPr>
        <w:t>10</w:t>
      </w:r>
      <w:r>
        <w:rPr>
          <w:rFonts w:hint="eastAsia" w:ascii="宋体" w:hAnsi="宋体" w:eastAsia="宋体" w:cs="宋体"/>
          <w:b/>
          <w:bCs/>
          <w:color w:val="auto"/>
          <w:spacing w:val="8"/>
          <w:sz w:val="24"/>
          <w:highlight w:val="none"/>
          <w:shd w:val="clear" w:color="auto" w:fill="auto"/>
        </w:rPr>
        <w:t>分</w:t>
      </w:r>
    </w:p>
    <w:p>
      <w:pPr>
        <w:spacing w:line="360" w:lineRule="auto"/>
        <w:ind w:right="-313" w:rightChars="-149" w:firstLine="455" w:firstLineChars="175"/>
        <w:rPr>
          <w:rFonts w:hint="eastAsia" w:ascii="宋体" w:hAnsi="宋体" w:eastAsia="宋体" w:cs="宋体"/>
          <w:color w:val="auto"/>
          <w:spacing w:val="10"/>
          <w:sz w:val="24"/>
          <w:highlight w:val="none"/>
          <w:shd w:val="clear" w:color="auto" w:fill="auto"/>
        </w:rPr>
      </w:pPr>
      <w:r>
        <w:rPr>
          <w:rFonts w:hint="eastAsia" w:ascii="宋体" w:hAnsi="宋体" w:eastAsia="宋体" w:cs="宋体"/>
          <w:color w:val="auto"/>
          <w:spacing w:val="10"/>
          <w:sz w:val="24"/>
          <w:highlight w:val="none"/>
          <w:shd w:val="clear" w:color="auto" w:fill="auto"/>
        </w:rPr>
        <w:t>基准价算法：满足磋商文件要求且最后报价最低的供应商的价格为磋商基准价，其价格为满分。其他供应商的价格分统一按照以下公式计算：</w:t>
      </w:r>
    </w:p>
    <w:p>
      <w:pPr>
        <w:spacing w:line="420" w:lineRule="exact"/>
        <w:ind w:firstLine="520" w:firstLineChars="200"/>
        <w:rPr>
          <w:rFonts w:hint="eastAsia" w:ascii="宋体" w:hAnsi="宋体" w:eastAsia="宋体" w:cs="宋体"/>
          <w:color w:val="auto"/>
          <w:spacing w:val="10"/>
          <w:sz w:val="24"/>
          <w:highlight w:val="none"/>
          <w:shd w:val="clear" w:color="auto" w:fill="auto"/>
        </w:rPr>
      </w:pPr>
      <w:r>
        <w:rPr>
          <w:rFonts w:hint="eastAsia" w:ascii="宋体" w:hAnsi="宋体" w:eastAsia="宋体" w:cs="宋体"/>
          <w:color w:val="auto"/>
          <w:spacing w:val="10"/>
          <w:sz w:val="24"/>
          <w:highlight w:val="none"/>
          <w:shd w:val="clear" w:color="auto" w:fill="auto"/>
        </w:rPr>
        <w:t>磋商报价得分=（磋商基准价/最后磋商报价）X价格权重X100。</w:t>
      </w:r>
    </w:p>
    <w:p>
      <w:pPr>
        <w:spacing w:line="420" w:lineRule="exact"/>
        <w:ind w:firstLine="480"/>
        <w:rPr>
          <w:rFonts w:hint="eastAsia" w:ascii="宋体" w:hAnsi="宋体" w:eastAsia="宋体" w:cs="宋体"/>
          <w:b/>
          <w:bCs/>
          <w:color w:val="auto"/>
          <w:spacing w:val="8"/>
          <w:sz w:val="24"/>
          <w:highlight w:val="none"/>
          <w:shd w:val="clear" w:color="auto" w:fill="auto"/>
        </w:rPr>
      </w:pPr>
      <w:r>
        <w:rPr>
          <w:rFonts w:hint="eastAsia" w:ascii="宋体" w:hAnsi="宋体" w:eastAsia="宋体" w:cs="宋体"/>
          <w:b/>
          <w:bCs/>
          <w:color w:val="auto"/>
          <w:spacing w:val="8"/>
          <w:sz w:val="24"/>
          <w:highlight w:val="none"/>
          <w:shd w:val="clear" w:color="auto" w:fill="auto"/>
        </w:rPr>
        <w:t>技术文件得分</w:t>
      </w:r>
      <w:r>
        <w:rPr>
          <w:rFonts w:hint="eastAsia" w:ascii="宋体" w:hAnsi="宋体" w:cs="宋体"/>
          <w:b/>
          <w:bCs/>
          <w:color w:val="auto"/>
          <w:spacing w:val="8"/>
          <w:sz w:val="24"/>
          <w:highlight w:val="none"/>
          <w:shd w:val="clear" w:color="auto" w:fill="auto"/>
          <w:lang w:val="en-US" w:eastAsia="zh-CN"/>
        </w:rPr>
        <w:t>90</w:t>
      </w:r>
      <w:r>
        <w:rPr>
          <w:rFonts w:hint="eastAsia" w:ascii="宋体" w:hAnsi="宋体" w:eastAsia="宋体" w:cs="宋体"/>
          <w:b/>
          <w:bCs/>
          <w:color w:val="auto"/>
          <w:spacing w:val="8"/>
          <w:sz w:val="24"/>
          <w:highlight w:val="none"/>
          <w:shd w:val="clear" w:color="auto" w:fill="auto"/>
        </w:rPr>
        <w:t>分</w:t>
      </w:r>
    </w:p>
    <w:p>
      <w:pPr>
        <w:spacing w:line="420" w:lineRule="exact"/>
        <w:ind w:firstLine="480"/>
        <w:rPr>
          <w:rFonts w:hint="eastAsia" w:ascii="宋体" w:hAnsi="宋体" w:eastAsia="宋体" w:cs="宋体"/>
          <w:b/>
          <w:bCs/>
          <w:color w:val="auto"/>
          <w:spacing w:val="8"/>
          <w:sz w:val="24"/>
          <w:highlight w:val="none"/>
          <w:shd w:val="clear" w:color="auto" w:fill="auto"/>
        </w:rPr>
      </w:pPr>
      <w:r>
        <w:rPr>
          <w:rFonts w:hint="eastAsia" w:ascii="宋体" w:hAnsi="宋体" w:eastAsia="宋体" w:cs="宋体"/>
          <w:b/>
          <w:bCs/>
          <w:color w:val="auto"/>
          <w:spacing w:val="8"/>
          <w:sz w:val="24"/>
          <w:highlight w:val="none"/>
          <w:shd w:val="clear" w:color="auto" w:fill="auto"/>
          <w:lang w:eastAsia="zh-CN"/>
        </w:rPr>
        <w:t>供应商</w:t>
      </w:r>
      <w:r>
        <w:rPr>
          <w:rFonts w:hint="eastAsia" w:ascii="宋体" w:hAnsi="宋体" w:eastAsia="宋体" w:cs="宋体"/>
          <w:b/>
          <w:bCs/>
          <w:color w:val="auto"/>
          <w:spacing w:val="8"/>
          <w:sz w:val="24"/>
          <w:highlight w:val="none"/>
          <w:shd w:val="clear" w:color="auto" w:fill="auto"/>
        </w:rPr>
        <w:t>技术文件得分＝评委打分之和/评委人数</w:t>
      </w:r>
    </w:p>
    <w:p>
      <w:pPr>
        <w:spacing w:line="500" w:lineRule="exact"/>
        <w:ind w:firstLine="482" w:firstLineChars="200"/>
        <w:outlineLvl w:val="2"/>
        <w:rPr>
          <w:rFonts w:hint="eastAsia" w:ascii="宋体" w:hAnsi="宋体" w:eastAsia="宋体" w:cs="宋体"/>
          <w:b/>
          <w:color w:val="auto"/>
          <w:sz w:val="24"/>
          <w:highlight w:val="none"/>
          <w:shd w:val="clear" w:color="auto" w:fill="auto"/>
        </w:rPr>
      </w:pPr>
      <w:bookmarkStart w:id="27" w:name="_Toc25227"/>
      <w:bookmarkStart w:id="28" w:name="_Toc16442"/>
      <w:bookmarkStart w:id="29" w:name="_Toc28831"/>
      <w:bookmarkStart w:id="30" w:name="_Toc18185"/>
      <w:bookmarkStart w:id="31" w:name="_Toc31177"/>
      <w:r>
        <w:rPr>
          <w:rFonts w:hint="eastAsia" w:ascii="宋体" w:hAnsi="宋体" w:eastAsia="宋体" w:cs="宋体"/>
          <w:b/>
          <w:color w:val="auto"/>
          <w:sz w:val="24"/>
          <w:highlight w:val="none"/>
          <w:shd w:val="clear" w:color="auto" w:fill="auto"/>
        </w:rPr>
        <w:t>四、成交候选供应商推荐</w:t>
      </w:r>
      <w:bookmarkEnd w:id="27"/>
      <w:bookmarkEnd w:id="28"/>
      <w:bookmarkEnd w:id="29"/>
      <w:bookmarkEnd w:id="30"/>
      <w:bookmarkEnd w:id="31"/>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磋商小组应当根据综合评分情况，按照评审得分由高到低顺序推荐3名成交候选供应商，并编写评审报告。评审得分相同的，以报价低者优先，报价也相同时以业绩得分高者优先。</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500" w:lineRule="exact"/>
        <w:ind w:firstLine="482" w:firstLineChars="200"/>
        <w:outlineLvl w:val="2"/>
        <w:rPr>
          <w:rFonts w:hint="eastAsia" w:ascii="宋体" w:hAnsi="宋体" w:eastAsia="宋体" w:cs="宋体"/>
          <w:b/>
          <w:color w:val="auto"/>
          <w:sz w:val="24"/>
          <w:highlight w:val="none"/>
          <w:shd w:val="clear" w:color="auto" w:fill="auto"/>
        </w:rPr>
      </w:pPr>
      <w:bookmarkStart w:id="32" w:name="_Toc11511"/>
      <w:bookmarkStart w:id="33" w:name="_Toc24707"/>
      <w:bookmarkStart w:id="34" w:name="_Toc28498"/>
      <w:bookmarkStart w:id="35" w:name="_Toc2853"/>
      <w:bookmarkStart w:id="36" w:name="_Toc6514"/>
      <w:r>
        <w:rPr>
          <w:rFonts w:hint="eastAsia" w:ascii="宋体" w:hAnsi="宋体" w:eastAsia="宋体" w:cs="宋体"/>
          <w:b/>
          <w:color w:val="auto"/>
          <w:sz w:val="24"/>
          <w:highlight w:val="none"/>
          <w:shd w:val="clear" w:color="auto" w:fill="auto"/>
        </w:rPr>
        <w:t>五、评审报告内容</w:t>
      </w:r>
      <w:bookmarkEnd w:id="32"/>
      <w:bookmarkEnd w:id="33"/>
      <w:bookmarkEnd w:id="34"/>
      <w:bookmarkEnd w:id="35"/>
      <w:bookmarkEnd w:id="36"/>
    </w:p>
    <w:p>
      <w:pPr>
        <w:spacing w:line="500" w:lineRule="exact"/>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评审报告应当包括以下主要内容：</w:t>
      </w:r>
    </w:p>
    <w:p>
      <w:pPr>
        <w:spacing w:line="500" w:lineRule="exact"/>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1、邀请供应商参加采购活动的具体方式和相关情况；</w:t>
      </w:r>
    </w:p>
    <w:p>
      <w:pPr>
        <w:spacing w:line="500" w:lineRule="exact"/>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2、响应文件开启日期和地点；</w:t>
      </w:r>
    </w:p>
    <w:p>
      <w:pPr>
        <w:spacing w:line="500" w:lineRule="exact"/>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3、获取磋商文件的供应商名单和磋商小组成员名单；</w:t>
      </w:r>
    </w:p>
    <w:p>
      <w:pPr>
        <w:spacing w:line="500" w:lineRule="exact"/>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4、评审情况记录和说明，包括对供应商的资格及符合性审查情况、供应商响应文件评审情况、磋商情况、报价情况等；</w:t>
      </w:r>
    </w:p>
    <w:p>
      <w:pPr>
        <w:spacing w:line="500" w:lineRule="exact"/>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2"/>
          <w:highlight w:val="none"/>
          <w:shd w:val="clear" w:color="auto" w:fill="auto"/>
        </w:rPr>
        <w:t>5、提出的成交候选供应商的排序名单。</w:t>
      </w:r>
    </w:p>
    <w:bookmarkEnd w:id="10"/>
    <w:bookmarkEnd w:id="11"/>
    <w:p>
      <w:pPr>
        <w:spacing w:line="500" w:lineRule="exact"/>
        <w:ind w:firstLine="480" w:firstLineChars="200"/>
        <w:rPr>
          <w:rFonts w:hint="eastAsia" w:ascii="宋体" w:hAnsi="宋体" w:eastAsia="宋体" w:cs="宋体"/>
          <w:b/>
          <w:color w:val="auto"/>
          <w:sz w:val="24"/>
          <w:szCs w:val="28"/>
          <w:highlight w:val="none"/>
          <w:shd w:val="clear" w:color="auto" w:fill="auto"/>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highlight w:val="none"/>
          <w:shd w:val="clear" w:color="auto" w:fill="auto"/>
        </w:rPr>
        <w:t>附表1：</w:t>
      </w:r>
    </w:p>
    <w:p>
      <w:pPr>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资格评审内容及标准</w:t>
      </w:r>
    </w:p>
    <w:tbl>
      <w:tblPr>
        <w:tblStyle w:val="27"/>
        <w:tblW w:w="10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3"/>
        <w:gridCol w:w="3057"/>
        <w:gridCol w:w="66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exact"/>
          <w:jc w:val="center"/>
        </w:trPr>
        <w:tc>
          <w:tcPr>
            <w:tcW w:w="823" w:type="dxa"/>
            <w:tcBorders>
              <w:top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序号</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评审因素</w:t>
            </w:r>
          </w:p>
        </w:tc>
        <w:tc>
          <w:tcPr>
            <w:tcW w:w="6624"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exact"/>
          <w:jc w:val="center"/>
        </w:trPr>
        <w:tc>
          <w:tcPr>
            <w:tcW w:w="823" w:type="dxa"/>
            <w:tcBorders>
              <w:top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3D4B64"/>
                <w:sz w:val="21"/>
                <w:szCs w:val="21"/>
                <w:highlight w:val="none"/>
              </w:rPr>
              <w:t>具有独立承担民事责任的能力</w:t>
            </w:r>
          </w:p>
        </w:tc>
        <w:tc>
          <w:tcPr>
            <w:tcW w:w="6624"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宋体" w:hAnsi="宋体" w:eastAsia="宋体" w:cs="宋体"/>
                <w:color w:val="3D4B64"/>
                <w:sz w:val="21"/>
                <w:szCs w:val="21"/>
                <w:highlight w:val="none"/>
              </w:rPr>
            </w:pPr>
            <w:r>
              <w:rPr>
                <w:rFonts w:hint="eastAsia" w:ascii="宋体" w:hAnsi="宋体" w:eastAsia="宋体" w:cs="宋体"/>
                <w:color w:val="3D4B64"/>
                <w:sz w:val="21"/>
                <w:szCs w:val="21"/>
                <w:highlight w:val="none"/>
              </w:rPr>
              <w:t>投标人必须是在中华人民共和国境内注册的法人或其他组织或自然人。</w:t>
            </w:r>
          </w:p>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投标文件中提供有效的营业执照（或事业法人证书或身份证等相关证明）副本扫描件并加盖投标人公章。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6" w:hRule="exact"/>
          <w:jc w:val="center"/>
        </w:trPr>
        <w:tc>
          <w:tcPr>
            <w:tcW w:w="823" w:type="dxa"/>
            <w:tcBorders>
              <w:top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具有良好的商业信誉和健全的财务会计制度</w:t>
            </w:r>
          </w:p>
        </w:tc>
        <w:tc>
          <w:tcPr>
            <w:tcW w:w="6624"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投标文件中提供承诺函并加盖公章。承诺其具有良好的商业信誉和健全的财务会计制度。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9" w:hRule="exact"/>
          <w:jc w:val="center"/>
        </w:trPr>
        <w:tc>
          <w:tcPr>
            <w:tcW w:w="823" w:type="dxa"/>
            <w:tcBorders>
              <w:top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有依法缴纳税收和社会保障资金的良好记录</w:t>
            </w:r>
          </w:p>
        </w:tc>
        <w:tc>
          <w:tcPr>
            <w:tcW w:w="6624"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投标人在投标文件中提供承诺函并加盖公章。承诺其依法缴纳税收和社会保障资金或依法免税或不需要缴纳社会保障资金。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8" w:hRule="exact"/>
          <w:jc w:val="center"/>
        </w:trPr>
        <w:tc>
          <w:tcPr>
            <w:tcW w:w="823" w:type="dxa"/>
            <w:tcBorders>
              <w:top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具有履行合同所必需的设备和专业技术能力</w:t>
            </w:r>
          </w:p>
        </w:tc>
        <w:tc>
          <w:tcPr>
            <w:tcW w:w="6624"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投标文件中提供设备的清单以及技术人员的名单材料或承诺函（承诺其具有履行合同所必需的设备和专业技术能力），并加盖投标人公章。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exact"/>
          <w:jc w:val="center"/>
        </w:trPr>
        <w:tc>
          <w:tcPr>
            <w:tcW w:w="823" w:type="dxa"/>
            <w:tcBorders>
              <w:top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参加政府采购活动前 3 年内，在经营活动中没有重大违法记录</w:t>
            </w:r>
          </w:p>
        </w:tc>
        <w:tc>
          <w:tcPr>
            <w:tcW w:w="6624"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投标文件中提供承诺函（承诺其在参加政府采购活动前 3 年内，在经营活动中没有重大违法记录），并加盖投标人公章。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9" w:hRule="exact"/>
          <w:jc w:val="center"/>
        </w:trPr>
        <w:tc>
          <w:tcPr>
            <w:tcW w:w="823" w:type="dxa"/>
            <w:tcBorders>
              <w:top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w:t>
            </w:r>
          </w:p>
        </w:tc>
        <w:tc>
          <w:tcPr>
            <w:tcW w:w="3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3D4B64"/>
                <w:sz w:val="21"/>
                <w:szCs w:val="21"/>
                <w:highlight w:val="none"/>
              </w:rPr>
              <w:t>投标人信用记录</w:t>
            </w:r>
          </w:p>
        </w:tc>
        <w:tc>
          <w:tcPr>
            <w:tcW w:w="6624"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shd w:val="clear" w:color="auto" w:fill="auto"/>
                <w:lang w:val="zh-CN" w:eastAsia="zh-CN"/>
              </w:rPr>
            </w:pPr>
            <w:r>
              <w:rPr>
                <w:rFonts w:hint="eastAsia" w:ascii="宋体" w:hAnsi="宋体" w:eastAsia="宋体" w:cs="宋体"/>
                <w:color w:val="auto"/>
                <w:sz w:val="21"/>
                <w:szCs w:val="21"/>
                <w:highlight w:val="none"/>
                <w:shd w:val="clear" w:color="auto" w:fill="auto"/>
                <w:lang w:val="zh-CN" w:eastAsia="zh-CN"/>
              </w:rPr>
              <w:t>投标人未被列入“信用中国”网站（www.creditchina.gov.cn）中“失信被执行人或重大税收违法案件当事人名单”的记录名单；不处于“中国政府采购网”（ www.ccgp.gov.cn）中“政府采购严重违法失信行为信息记录”的禁止参加政府采购活动期间。</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zh-CN" w:eastAsia="zh-CN"/>
              </w:rPr>
              <w:t>以开标当天现场查询为准</w:t>
            </w:r>
          </w:p>
        </w:tc>
      </w:tr>
    </w:tbl>
    <w:p>
      <w:pPr>
        <w:spacing w:line="500" w:lineRule="exact"/>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rPr>
        <w:br w:type="page"/>
      </w:r>
      <w:r>
        <w:rPr>
          <w:rFonts w:hint="eastAsia" w:ascii="宋体" w:hAnsi="宋体" w:eastAsia="宋体" w:cs="宋体"/>
          <w:b/>
          <w:color w:val="auto"/>
          <w:sz w:val="24"/>
          <w:highlight w:val="none"/>
          <w:shd w:val="clear" w:color="auto" w:fill="auto"/>
        </w:rPr>
        <w:t>附表2：</w:t>
      </w:r>
    </w:p>
    <w:p>
      <w:pPr>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符合性评审表</w:t>
      </w:r>
    </w:p>
    <w:tbl>
      <w:tblPr>
        <w:tblStyle w:val="2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345"/>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13" w:type="dxa"/>
            <w:noWrap w:val="0"/>
            <w:vAlign w:val="center"/>
          </w:tcPr>
          <w:p>
            <w:pPr>
              <w:spacing w:line="500" w:lineRule="exact"/>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序号</w:t>
            </w:r>
          </w:p>
        </w:tc>
        <w:tc>
          <w:tcPr>
            <w:tcW w:w="2345" w:type="dxa"/>
            <w:noWrap w:val="0"/>
            <w:vAlign w:val="center"/>
          </w:tcPr>
          <w:p>
            <w:pPr>
              <w:spacing w:line="500" w:lineRule="exact"/>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评审因素</w:t>
            </w:r>
          </w:p>
        </w:tc>
        <w:tc>
          <w:tcPr>
            <w:tcW w:w="6182" w:type="dxa"/>
            <w:noWrap w:val="0"/>
            <w:vAlign w:val="center"/>
          </w:tcPr>
          <w:p>
            <w:pPr>
              <w:spacing w:line="500" w:lineRule="exact"/>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3"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2345"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签署和盖章</w:t>
            </w:r>
          </w:p>
        </w:tc>
        <w:tc>
          <w:tcPr>
            <w:tcW w:w="6182" w:type="dxa"/>
            <w:noWrap w:val="0"/>
            <w:vAlign w:val="center"/>
          </w:tcPr>
          <w:p>
            <w:pPr>
              <w:spacing w:line="50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按照磋商文件的规定签署、盖章。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13"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2345"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响应有效期</w:t>
            </w:r>
          </w:p>
        </w:tc>
        <w:tc>
          <w:tcPr>
            <w:tcW w:w="6182" w:type="dxa"/>
            <w:noWrap w:val="0"/>
            <w:vAlign w:val="center"/>
          </w:tcPr>
          <w:p>
            <w:pPr>
              <w:spacing w:line="50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投标有效期为磋商文件提交截止之日起不少于 90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13"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2345"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响应报价</w:t>
            </w:r>
          </w:p>
        </w:tc>
        <w:tc>
          <w:tcPr>
            <w:tcW w:w="6182" w:type="dxa"/>
            <w:noWrap w:val="0"/>
            <w:vAlign w:val="center"/>
          </w:tcPr>
          <w:p>
            <w:pPr>
              <w:spacing w:line="50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1、响应报价未超磋商文件中规定的预算金额或者最高限价。2、响应报价没有漏项。3、响应报价合理、有效。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13"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4</w:t>
            </w:r>
          </w:p>
        </w:tc>
        <w:tc>
          <w:tcPr>
            <w:tcW w:w="2345" w:type="dxa"/>
            <w:noWrap w:val="0"/>
            <w:vAlign w:val="center"/>
          </w:tcPr>
          <w:p>
            <w:pPr>
              <w:spacing w:line="500" w:lineRule="exact"/>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实质性条款</w:t>
            </w:r>
          </w:p>
        </w:tc>
        <w:tc>
          <w:tcPr>
            <w:tcW w:w="6182" w:type="dxa"/>
            <w:noWrap w:val="0"/>
            <w:vAlign w:val="center"/>
          </w:tcPr>
          <w:p>
            <w:pPr>
              <w:spacing w:line="50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3D4B64"/>
                <w:sz w:val="21"/>
                <w:szCs w:val="21"/>
                <w:highlight w:val="none"/>
              </w:rPr>
              <w:t>满足磋商文件“★”号实质性条款要求。</w:t>
            </w:r>
          </w:p>
        </w:tc>
      </w:tr>
    </w:tbl>
    <w:p>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int="eastAsia" w:ascii="宋体" w:hAnsi="宋体" w:eastAsia="宋体" w:cs="宋体"/>
          <w:color w:val="auto"/>
          <w:sz w:val="24"/>
          <w:szCs w:val="24"/>
          <w:highlight w:val="none"/>
        </w:rPr>
      </w:pPr>
    </w:p>
    <w:p>
      <w:pPr>
        <w:pStyle w:val="5"/>
        <w:rPr>
          <w:rFonts w:hint="eastAsia" w:ascii="宋体" w:hAnsi="宋体" w:eastAsia="宋体" w:cs="宋体"/>
          <w:b/>
          <w:sz w:val="24"/>
          <w:szCs w:val="24"/>
          <w:highlight w:val="none"/>
        </w:rPr>
      </w:pPr>
      <w:r>
        <w:rPr>
          <w:rFonts w:hint="eastAsia" w:ascii="宋体" w:hAnsi="宋体" w:eastAsia="宋体" w:cs="宋体"/>
          <w:b/>
          <w:bCs/>
          <w:kern w:val="2"/>
          <w:sz w:val="24"/>
          <w:szCs w:val="24"/>
          <w:highlight w:val="none"/>
          <w:lang w:val="en-US" w:eastAsia="zh-CN" w:bidi="ar-SA"/>
        </w:rPr>
        <w:t>附表3：评标细则</w:t>
      </w:r>
    </w:p>
    <w:tbl>
      <w:tblPr>
        <w:tblStyle w:val="27"/>
        <w:tblpPr w:leftFromText="180" w:rightFromText="180" w:vertAnchor="text" w:horzAnchor="page" w:tblpX="1157" w:tblpY="333"/>
        <w:tblOverlap w:val="never"/>
        <w:tblW w:w="9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1683"/>
        <w:gridCol w:w="967"/>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5" w:type="dxa"/>
            <w:noWrap w:val="0"/>
            <w:vAlign w:val="center"/>
          </w:tcPr>
          <w:p>
            <w:pPr>
              <w:pStyle w:val="48"/>
              <w:spacing w:line="400" w:lineRule="exact"/>
              <w:jc w:val="center"/>
              <w:rPr>
                <w:sz w:val="21"/>
                <w:szCs w:val="21"/>
                <w:highlight w:val="none"/>
              </w:rPr>
            </w:pPr>
            <w:r>
              <w:rPr>
                <w:sz w:val="21"/>
                <w:szCs w:val="21"/>
                <w:highlight w:val="none"/>
              </w:rPr>
              <w:t>序号</w:t>
            </w:r>
          </w:p>
        </w:tc>
        <w:tc>
          <w:tcPr>
            <w:tcW w:w="1683" w:type="dxa"/>
            <w:noWrap w:val="0"/>
            <w:vAlign w:val="center"/>
          </w:tcPr>
          <w:p>
            <w:pPr>
              <w:pStyle w:val="48"/>
              <w:spacing w:line="400" w:lineRule="exact"/>
              <w:jc w:val="center"/>
              <w:rPr>
                <w:sz w:val="21"/>
                <w:szCs w:val="21"/>
                <w:highlight w:val="none"/>
              </w:rPr>
            </w:pPr>
            <w:r>
              <w:rPr>
                <w:sz w:val="21"/>
                <w:szCs w:val="21"/>
                <w:highlight w:val="none"/>
              </w:rPr>
              <w:t>评分因素</w:t>
            </w:r>
          </w:p>
        </w:tc>
        <w:tc>
          <w:tcPr>
            <w:tcW w:w="967" w:type="dxa"/>
            <w:noWrap w:val="0"/>
            <w:vAlign w:val="center"/>
          </w:tcPr>
          <w:p>
            <w:pPr>
              <w:pStyle w:val="48"/>
              <w:spacing w:line="400" w:lineRule="exact"/>
              <w:jc w:val="center"/>
              <w:rPr>
                <w:sz w:val="21"/>
                <w:szCs w:val="21"/>
                <w:highlight w:val="none"/>
              </w:rPr>
            </w:pPr>
            <w:r>
              <w:rPr>
                <w:sz w:val="21"/>
                <w:szCs w:val="21"/>
                <w:highlight w:val="none"/>
              </w:rPr>
              <w:t>标准分值</w:t>
            </w:r>
          </w:p>
        </w:tc>
        <w:tc>
          <w:tcPr>
            <w:tcW w:w="6368" w:type="dxa"/>
            <w:noWrap w:val="0"/>
            <w:vAlign w:val="center"/>
          </w:tcPr>
          <w:p>
            <w:pPr>
              <w:pStyle w:val="48"/>
              <w:spacing w:line="400" w:lineRule="exact"/>
              <w:jc w:val="center"/>
              <w:rPr>
                <w:sz w:val="21"/>
                <w:szCs w:val="21"/>
                <w:highlight w:val="none"/>
              </w:rPr>
            </w:pPr>
            <w:r>
              <w:rPr>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705" w:type="dxa"/>
            <w:noWrap w:val="0"/>
            <w:vAlign w:val="center"/>
          </w:tcPr>
          <w:p>
            <w:pPr>
              <w:pStyle w:val="48"/>
              <w:spacing w:line="380" w:lineRule="exact"/>
              <w:ind w:hanging="3"/>
              <w:jc w:val="center"/>
              <w:rPr>
                <w:sz w:val="21"/>
                <w:szCs w:val="21"/>
                <w:highlight w:val="none"/>
              </w:rPr>
            </w:pPr>
            <w:r>
              <w:rPr>
                <w:sz w:val="21"/>
                <w:szCs w:val="21"/>
                <w:highlight w:val="none"/>
              </w:rPr>
              <w:t>1</w:t>
            </w:r>
          </w:p>
        </w:tc>
        <w:tc>
          <w:tcPr>
            <w:tcW w:w="1683" w:type="dxa"/>
            <w:noWrap w:val="0"/>
            <w:vAlign w:val="center"/>
          </w:tcPr>
          <w:p>
            <w:pPr>
              <w:pStyle w:val="48"/>
              <w:spacing w:line="380" w:lineRule="exact"/>
              <w:jc w:val="center"/>
              <w:rPr>
                <w:sz w:val="21"/>
                <w:szCs w:val="21"/>
                <w:highlight w:val="none"/>
              </w:rPr>
            </w:pPr>
            <w:r>
              <w:rPr>
                <w:rFonts w:hint="eastAsia"/>
                <w:sz w:val="21"/>
                <w:szCs w:val="21"/>
                <w:highlight w:val="none"/>
              </w:rPr>
              <w:t>报价</w:t>
            </w:r>
          </w:p>
        </w:tc>
        <w:tc>
          <w:tcPr>
            <w:tcW w:w="967" w:type="dxa"/>
            <w:noWrap w:val="0"/>
            <w:vAlign w:val="center"/>
          </w:tcPr>
          <w:p>
            <w:pPr>
              <w:pStyle w:val="48"/>
              <w:spacing w:line="380" w:lineRule="exact"/>
              <w:ind w:right="34" w:rightChars="16"/>
              <w:jc w:val="center"/>
              <w:rPr>
                <w:sz w:val="21"/>
                <w:szCs w:val="21"/>
                <w:highlight w:val="none"/>
                <w:lang w:val="en-US"/>
              </w:rPr>
            </w:pPr>
            <w:r>
              <w:rPr>
                <w:rFonts w:hint="eastAsia"/>
                <w:sz w:val="21"/>
                <w:szCs w:val="21"/>
                <w:highlight w:val="none"/>
                <w:lang w:val="en-US"/>
              </w:rPr>
              <w:t>10分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sz w:val="21"/>
                <w:szCs w:val="21"/>
                <w:highlight w:val="none"/>
                <w:lang w:val="en-US"/>
              </w:rPr>
            </w:pPr>
            <w:r>
              <w:rPr>
                <w:spacing w:val="-3"/>
                <w:sz w:val="21"/>
                <w:szCs w:val="21"/>
                <w:highlight w:val="none"/>
              </w:rPr>
              <w:t>投标报价得分</w:t>
            </w:r>
            <w:r>
              <w:rPr>
                <w:spacing w:val="-1"/>
                <w:sz w:val="21"/>
                <w:szCs w:val="21"/>
                <w:highlight w:val="none"/>
              </w:rPr>
              <w:t>＝（</w:t>
            </w:r>
            <w:r>
              <w:rPr>
                <w:spacing w:val="-3"/>
                <w:sz w:val="21"/>
                <w:szCs w:val="21"/>
                <w:highlight w:val="none"/>
              </w:rPr>
              <w:t>有效最低投标报价／该投标报价</w:t>
            </w:r>
            <w:r>
              <w:rPr>
                <w:sz w:val="21"/>
                <w:szCs w:val="21"/>
                <w:highlight w:val="none"/>
              </w:rPr>
              <w:t>）×</w:t>
            </w:r>
            <w:r>
              <w:rPr>
                <w:rFonts w:hint="eastAsia"/>
                <w:sz w:val="21"/>
                <w:szCs w:val="21"/>
                <w:highlight w:val="none"/>
                <w:lang w:val="en-US"/>
              </w:rPr>
              <w:t>10</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sz w:val="21"/>
                <w:szCs w:val="21"/>
                <w:highlight w:val="none"/>
              </w:rPr>
            </w:pPr>
            <w:r>
              <w:rPr>
                <w:spacing w:val="-3"/>
                <w:sz w:val="21"/>
                <w:szCs w:val="21"/>
                <w:highlight w:val="none"/>
              </w:rPr>
              <w:t>※评标基准价为满足采购文件要求且价格最低的总报价。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trPr>
        <w:tc>
          <w:tcPr>
            <w:tcW w:w="705" w:type="dxa"/>
            <w:noWrap w:val="0"/>
            <w:vAlign w:val="center"/>
          </w:tcPr>
          <w:p>
            <w:pPr>
              <w:pStyle w:val="48"/>
              <w:spacing w:line="380" w:lineRule="exact"/>
              <w:ind w:hanging="3"/>
              <w:jc w:val="center"/>
              <w:rPr>
                <w:sz w:val="21"/>
                <w:szCs w:val="21"/>
                <w:highlight w:val="none"/>
              </w:rPr>
            </w:pPr>
            <w:r>
              <w:rPr>
                <w:rFonts w:hint="eastAsia"/>
                <w:sz w:val="21"/>
                <w:szCs w:val="21"/>
                <w:highlight w:val="none"/>
                <w:lang w:val="en-US"/>
              </w:rPr>
              <w:t>2</w:t>
            </w:r>
          </w:p>
        </w:tc>
        <w:tc>
          <w:tcPr>
            <w:tcW w:w="1683" w:type="dxa"/>
            <w:noWrap w:val="0"/>
            <w:vAlign w:val="center"/>
          </w:tcPr>
          <w:p>
            <w:pPr>
              <w:pStyle w:val="48"/>
              <w:spacing w:line="380" w:lineRule="exact"/>
              <w:jc w:val="center"/>
              <w:rPr>
                <w:sz w:val="21"/>
                <w:szCs w:val="21"/>
                <w:highlight w:val="none"/>
              </w:rPr>
            </w:pPr>
            <w:r>
              <w:rPr>
                <w:rFonts w:hint="eastAsia"/>
                <w:sz w:val="21"/>
                <w:szCs w:val="21"/>
                <w:highlight w:val="none"/>
              </w:rPr>
              <w:t>类似</w:t>
            </w:r>
            <w:r>
              <w:rPr>
                <w:sz w:val="21"/>
                <w:szCs w:val="21"/>
                <w:highlight w:val="none"/>
              </w:rPr>
              <w:t>业绩</w:t>
            </w:r>
          </w:p>
        </w:tc>
        <w:tc>
          <w:tcPr>
            <w:tcW w:w="967" w:type="dxa"/>
            <w:noWrap w:val="0"/>
            <w:vAlign w:val="center"/>
          </w:tcPr>
          <w:p>
            <w:pPr>
              <w:pStyle w:val="48"/>
              <w:spacing w:line="380" w:lineRule="exact"/>
              <w:ind w:right="34" w:rightChars="16"/>
              <w:jc w:val="center"/>
              <w:rPr>
                <w:sz w:val="21"/>
                <w:szCs w:val="21"/>
                <w:highlight w:val="none"/>
              </w:rPr>
            </w:pPr>
            <w:r>
              <w:rPr>
                <w:rFonts w:hint="eastAsia"/>
                <w:sz w:val="21"/>
                <w:szCs w:val="21"/>
                <w:highlight w:val="none"/>
                <w:lang w:val="en-US" w:eastAsia="zh-CN"/>
              </w:rPr>
              <w:t>5</w:t>
            </w:r>
            <w:r>
              <w:rPr>
                <w:rFonts w:hint="eastAsia"/>
                <w:sz w:val="21"/>
                <w:szCs w:val="21"/>
                <w:highlight w:val="none"/>
                <w:lang w:val="en-US"/>
              </w:rPr>
              <w:t>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eastAsia="zh-CN"/>
              </w:rPr>
            </w:pPr>
            <w:r>
              <w:rPr>
                <w:rFonts w:hint="eastAsia" w:eastAsia="宋体"/>
                <w:sz w:val="21"/>
                <w:szCs w:val="21"/>
                <w:highlight w:val="none"/>
                <w:lang w:eastAsia="zh-CN"/>
              </w:rPr>
              <w:t>2020年</w:t>
            </w:r>
            <w:r>
              <w:rPr>
                <w:rFonts w:hint="eastAsia"/>
                <w:sz w:val="21"/>
                <w:szCs w:val="21"/>
                <w:highlight w:val="none"/>
                <w:lang w:val="en-US" w:eastAsia="zh-CN"/>
              </w:rPr>
              <w:t>7</w:t>
            </w:r>
            <w:r>
              <w:rPr>
                <w:rFonts w:hint="eastAsia" w:eastAsia="宋体"/>
                <w:sz w:val="21"/>
                <w:szCs w:val="21"/>
                <w:highlight w:val="none"/>
                <w:lang w:eastAsia="zh-CN"/>
              </w:rPr>
              <w:t>月1日至今(以合同签订时间为准) 类似的项目业绩，每份得2.5分，满分5分。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eastAsia="zh-CN"/>
              </w:rPr>
            </w:pPr>
            <w:r>
              <w:rPr>
                <w:rFonts w:hint="eastAsia" w:eastAsia="宋体"/>
                <w:sz w:val="21"/>
                <w:szCs w:val="21"/>
                <w:highlight w:val="none"/>
                <w:lang w:eastAsia="zh-CN"/>
              </w:rPr>
              <w:t>注：合同并加盖电子签章</w:t>
            </w:r>
            <w:r>
              <w:rPr>
                <w:rFonts w:hint="eastAsia"/>
                <w:sz w:val="21"/>
                <w:szCs w:val="21"/>
                <w:highlight w:val="none"/>
                <w:lang w:eastAsia="zh-CN"/>
              </w:rPr>
              <w:t>，</w:t>
            </w:r>
            <w:r>
              <w:rPr>
                <w:rFonts w:hint="eastAsia" w:eastAsia="宋体"/>
                <w:sz w:val="21"/>
                <w:szCs w:val="21"/>
                <w:highlight w:val="none"/>
                <w:lang w:eastAsia="zh-CN"/>
              </w:rPr>
              <w:t>未按要求提供或提供不全不予计分。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705" w:type="dxa"/>
            <w:noWrap w:val="0"/>
            <w:vAlign w:val="center"/>
          </w:tcPr>
          <w:p>
            <w:pPr>
              <w:pStyle w:val="48"/>
              <w:spacing w:line="380" w:lineRule="exact"/>
              <w:ind w:hanging="3"/>
              <w:jc w:val="center"/>
              <w:rPr>
                <w:rFonts w:hint="default"/>
                <w:sz w:val="21"/>
                <w:szCs w:val="21"/>
                <w:highlight w:val="none"/>
                <w:lang w:val="en-US" w:eastAsia="zh-CN"/>
              </w:rPr>
            </w:pPr>
            <w:r>
              <w:rPr>
                <w:rFonts w:hint="eastAsia"/>
                <w:sz w:val="21"/>
                <w:szCs w:val="21"/>
                <w:highlight w:val="none"/>
                <w:lang w:val="en-US" w:eastAsia="zh-CN"/>
              </w:rPr>
              <w:t>3</w:t>
            </w:r>
          </w:p>
        </w:tc>
        <w:tc>
          <w:tcPr>
            <w:tcW w:w="1683" w:type="dxa"/>
            <w:noWrap w:val="0"/>
            <w:vAlign w:val="center"/>
          </w:tcPr>
          <w:p>
            <w:pPr>
              <w:pStyle w:val="48"/>
              <w:spacing w:line="380" w:lineRule="exact"/>
              <w:jc w:val="center"/>
              <w:rPr>
                <w:rFonts w:hint="eastAsia" w:eastAsia="宋体"/>
                <w:sz w:val="21"/>
                <w:szCs w:val="21"/>
                <w:highlight w:val="none"/>
                <w:lang w:eastAsia="zh-CN"/>
              </w:rPr>
            </w:pPr>
            <w:r>
              <w:rPr>
                <w:rFonts w:hint="eastAsia" w:eastAsia="宋体"/>
                <w:sz w:val="21"/>
                <w:szCs w:val="21"/>
                <w:highlight w:val="none"/>
                <w:lang w:eastAsia="zh-CN"/>
              </w:rPr>
              <w:t>专业技术</w:t>
            </w:r>
          </w:p>
          <w:p>
            <w:pPr>
              <w:pStyle w:val="48"/>
              <w:spacing w:line="380" w:lineRule="exact"/>
              <w:jc w:val="center"/>
              <w:rPr>
                <w:rFonts w:hint="eastAsia" w:eastAsia="宋体"/>
                <w:sz w:val="21"/>
                <w:szCs w:val="21"/>
                <w:highlight w:val="none"/>
                <w:lang w:eastAsia="zh-CN"/>
              </w:rPr>
            </w:pPr>
            <w:r>
              <w:rPr>
                <w:rFonts w:hint="eastAsia" w:eastAsia="宋体"/>
                <w:sz w:val="21"/>
                <w:szCs w:val="21"/>
                <w:highlight w:val="none"/>
                <w:lang w:eastAsia="zh-CN"/>
              </w:rPr>
              <w:t>能力</w:t>
            </w:r>
          </w:p>
        </w:tc>
        <w:tc>
          <w:tcPr>
            <w:tcW w:w="967" w:type="dxa"/>
            <w:noWrap w:val="0"/>
            <w:vAlign w:val="center"/>
          </w:tcPr>
          <w:p>
            <w:pPr>
              <w:pStyle w:val="48"/>
              <w:spacing w:line="380" w:lineRule="exact"/>
              <w:ind w:right="34" w:rightChars="16"/>
              <w:jc w:val="center"/>
              <w:rPr>
                <w:rFonts w:hint="default"/>
                <w:sz w:val="21"/>
                <w:szCs w:val="21"/>
                <w:highlight w:val="none"/>
                <w:lang w:val="en-US"/>
              </w:rPr>
            </w:pPr>
            <w:r>
              <w:rPr>
                <w:rFonts w:hint="eastAsia"/>
                <w:sz w:val="21"/>
                <w:szCs w:val="21"/>
                <w:highlight w:val="none"/>
                <w:lang w:val="en-US" w:eastAsia="zh-CN"/>
              </w:rPr>
              <w:t>15</w:t>
            </w:r>
            <w:r>
              <w:rPr>
                <w:rFonts w:hint="eastAsia" w:eastAsia="宋体"/>
                <w:sz w:val="21"/>
                <w:szCs w:val="21"/>
                <w:highlight w:val="none"/>
                <w:lang w:val="en-US" w:eastAsia="zh-CN"/>
              </w:rPr>
              <w:t>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投标人项目实施团队人员配备优劣情况进行比较打分：（总 1</w:t>
            </w:r>
            <w:r>
              <w:rPr>
                <w:rFonts w:hint="eastAsia"/>
                <w:sz w:val="21"/>
                <w:szCs w:val="21"/>
                <w:highlight w:val="none"/>
                <w:lang w:val="en-US" w:eastAsia="zh-CN"/>
              </w:rPr>
              <w:t>5</w:t>
            </w:r>
            <w:r>
              <w:rPr>
                <w:rFonts w:hint="eastAsia" w:eastAsia="宋体"/>
                <w:sz w:val="21"/>
                <w:szCs w:val="21"/>
                <w:highlight w:val="none"/>
                <w:lang w:val="en-US" w:eastAsia="zh-CN"/>
              </w:rPr>
              <w:t xml:space="preserve">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 xml:space="preserve">1、项目团队人员配备齐全、安排明确、完善、合理， 得 </w:t>
            </w:r>
            <w:r>
              <w:rPr>
                <w:rFonts w:hint="eastAsia"/>
                <w:sz w:val="21"/>
                <w:szCs w:val="21"/>
                <w:highlight w:val="none"/>
                <w:lang w:val="en-US" w:eastAsia="zh-CN"/>
              </w:rPr>
              <w:t>7</w:t>
            </w:r>
            <w:r>
              <w:rPr>
                <w:rFonts w:hint="eastAsia" w:eastAsia="宋体"/>
                <w:sz w:val="21"/>
                <w:szCs w:val="21"/>
                <w:highlight w:val="none"/>
                <w:lang w:val="en-US" w:eastAsia="zh-CN"/>
              </w:rPr>
              <w:t>.01-</w:t>
            </w:r>
            <w:r>
              <w:rPr>
                <w:rFonts w:hint="eastAsia"/>
                <w:sz w:val="21"/>
                <w:szCs w:val="21"/>
                <w:highlight w:val="none"/>
                <w:lang w:val="en-US" w:eastAsia="zh-CN"/>
              </w:rPr>
              <w:t>10</w:t>
            </w:r>
            <w:r>
              <w:rPr>
                <w:rFonts w:hint="eastAsia" w:eastAsia="宋体"/>
                <w:sz w:val="21"/>
                <w:szCs w:val="21"/>
                <w:highlight w:val="none"/>
                <w:lang w:val="en-US" w:eastAsia="zh-CN"/>
              </w:rPr>
              <w:t xml:space="preserve">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 xml:space="preserve">项目团队人员配备较齐全、安排 基本明确、合理， 得 </w:t>
            </w:r>
            <w:r>
              <w:rPr>
                <w:rFonts w:hint="eastAsia"/>
                <w:sz w:val="21"/>
                <w:szCs w:val="21"/>
                <w:highlight w:val="none"/>
                <w:lang w:val="en-US" w:eastAsia="zh-CN"/>
              </w:rPr>
              <w:t>3</w:t>
            </w:r>
            <w:r>
              <w:rPr>
                <w:rFonts w:hint="eastAsia" w:eastAsia="宋体"/>
                <w:sz w:val="21"/>
                <w:szCs w:val="21"/>
                <w:highlight w:val="none"/>
                <w:lang w:val="en-US" w:eastAsia="zh-CN"/>
              </w:rPr>
              <w:t>.01-</w:t>
            </w:r>
            <w:r>
              <w:rPr>
                <w:rFonts w:hint="eastAsia"/>
                <w:sz w:val="21"/>
                <w:szCs w:val="21"/>
                <w:highlight w:val="none"/>
                <w:lang w:val="en-US" w:eastAsia="zh-CN"/>
              </w:rPr>
              <w:t>7</w:t>
            </w:r>
            <w:r>
              <w:rPr>
                <w:rFonts w:hint="eastAsia" w:eastAsia="宋体"/>
                <w:sz w:val="21"/>
                <w:szCs w:val="21"/>
                <w:highlight w:val="none"/>
                <w:lang w:val="en-US" w:eastAsia="zh-CN"/>
              </w:rPr>
              <w:t xml:space="preserve">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项目团队人员配备不足或安排不太明确、不合理， 得 0-</w:t>
            </w:r>
            <w:r>
              <w:rPr>
                <w:rFonts w:hint="eastAsia"/>
                <w:sz w:val="21"/>
                <w:szCs w:val="21"/>
                <w:highlight w:val="none"/>
                <w:lang w:val="en-US" w:eastAsia="zh-CN"/>
              </w:rPr>
              <w:t>3</w:t>
            </w:r>
            <w:r>
              <w:rPr>
                <w:rFonts w:hint="eastAsia" w:eastAsia="宋体"/>
                <w:sz w:val="21"/>
                <w:szCs w:val="21"/>
                <w:highlight w:val="none"/>
                <w:lang w:val="en-US" w:eastAsia="zh-CN"/>
              </w:rPr>
              <w:t xml:space="preserve">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2、项目的成员具有养老、康复、辅具、护理专业人员的，每人 1 分最高5 分。（需提供相关证明资料</w:t>
            </w:r>
            <w:r>
              <w:rPr>
                <w:rFonts w:hint="eastAsia"/>
                <w:sz w:val="21"/>
                <w:szCs w:val="21"/>
                <w:highlight w:val="none"/>
                <w:lang w:val="en-US" w:eastAsia="zh-CN"/>
              </w:rPr>
              <w:t>扫描件</w:t>
            </w:r>
            <w:r>
              <w:rPr>
                <w:rFonts w:hint="eastAsia" w:eastAsia="宋体"/>
                <w:sz w:val="21"/>
                <w:szCs w:val="21"/>
                <w:highlight w:val="none"/>
                <w:lang w:val="en-US"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705" w:type="dxa"/>
            <w:noWrap w:val="0"/>
            <w:vAlign w:val="center"/>
          </w:tcPr>
          <w:p>
            <w:pPr>
              <w:pStyle w:val="48"/>
              <w:spacing w:line="380" w:lineRule="exact"/>
              <w:ind w:hanging="3"/>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1683"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sz w:val="21"/>
                <w:szCs w:val="21"/>
                <w:highlight w:val="none"/>
                <w:lang w:eastAsia="zh-CN"/>
              </w:rPr>
            </w:pPr>
            <w:r>
              <w:rPr>
                <w:rFonts w:hint="eastAsia" w:eastAsia="宋体"/>
                <w:sz w:val="21"/>
                <w:szCs w:val="21"/>
                <w:highlight w:val="none"/>
                <w:lang w:eastAsia="zh-CN"/>
              </w:rPr>
              <w:t>项目实施</w:t>
            </w:r>
          </w:p>
          <w:p>
            <w:pPr>
              <w:pStyle w:val="4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sz w:val="21"/>
                <w:szCs w:val="21"/>
                <w:highlight w:val="none"/>
                <w:lang w:eastAsia="zh-CN"/>
              </w:rPr>
            </w:pPr>
            <w:r>
              <w:rPr>
                <w:rFonts w:hint="eastAsia" w:eastAsia="宋体"/>
                <w:sz w:val="21"/>
                <w:szCs w:val="21"/>
                <w:highlight w:val="none"/>
                <w:lang w:eastAsia="zh-CN"/>
              </w:rPr>
              <w:t>方案</w:t>
            </w:r>
          </w:p>
        </w:tc>
        <w:tc>
          <w:tcPr>
            <w:tcW w:w="967" w:type="dxa"/>
            <w:noWrap w:val="0"/>
            <w:vAlign w:val="center"/>
          </w:tcPr>
          <w:p>
            <w:pPr>
              <w:pStyle w:val="48"/>
              <w:spacing w:line="380" w:lineRule="exact"/>
              <w:ind w:right="34" w:rightChars="16"/>
              <w:jc w:val="center"/>
              <w:rPr>
                <w:sz w:val="21"/>
                <w:szCs w:val="21"/>
                <w:highlight w:val="none"/>
                <w:lang w:val="en-US"/>
              </w:rPr>
            </w:pPr>
            <w:r>
              <w:rPr>
                <w:rFonts w:hint="eastAsia"/>
                <w:sz w:val="21"/>
                <w:szCs w:val="21"/>
                <w:highlight w:val="none"/>
                <w:lang w:val="en-US" w:eastAsia="zh-CN"/>
              </w:rPr>
              <w:t>25</w:t>
            </w:r>
            <w:r>
              <w:rPr>
                <w:rFonts w:hint="eastAsia" w:eastAsia="宋体"/>
                <w:sz w:val="21"/>
                <w:szCs w:val="21"/>
                <w:highlight w:val="none"/>
                <w:lang w:val="en-US" w:eastAsia="zh-CN"/>
              </w:rPr>
              <w:t>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根据投标人对康复辅具租赁服务实施方案（社区租赁服务、体验科普服务、租赁人员培训、租赁服务网络建设）进行综合打分：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1、方案合理，内容详细，措施完善，可行性强，完全满足或优于招标要求，得 16.01-25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2、方案较合理，内容较详细，措施合理，可行性较好，达到招标要求，</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得 8.01-16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en-US" w:eastAsia="zh-CN"/>
              </w:rPr>
            </w:pPr>
            <w:r>
              <w:rPr>
                <w:rFonts w:hint="eastAsia" w:eastAsia="宋体"/>
                <w:sz w:val="21"/>
                <w:szCs w:val="21"/>
                <w:highlight w:val="none"/>
                <w:lang w:val="en-US" w:eastAsia="zh-CN"/>
              </w:rPr>
              <w:t>3、方案内容有遗漏，，措施欠合理，可行性较差或低于其他档次投标人，得 0-8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705" w:type="dxa"/>
            <w:noWrap w:val="0"/>
            <w:vAlign w:val="center"/>
          </w:tcPr>
          <w:p>
            <w:pPr>
              <w:pStyle w:val="48"/>
              <w:spacing w:line="380" w:lineRule="exact"/>
              <w:ind w:hanging="3"/>
              <w:jc w:val="center"/>
              <w:rPr>
                <w:rFonts w:hint="eastAsia" w:eastAsia="宋体"/>
                <w:sz w:val="21"/>
                <w:szCs w:val="21"/>
                <w:highlight w:val="none"/>
                <w:lang w:val="en-US" w:eastAsia="zh-CN"/>
              </w:rPr>
            </w:pPr>
            <w:r>
              <w:rPr>
                <w:rFonts w:hint="eastAsia"/>
                <w:sz w:val="21"/>
                <w:szCs w:val="21"/>
                <w:highlight w:val="none"/>
                <w:lang w:val="en-US" w:eastAsia="zh-CN"/>
              </w:rPr>
              <w:t>5</w:t>
            </w:r>
          </w:p>
        </w:tc>
        <w:tc>
          <w:tcPr>
            <w:tcW w:w="1683" w:type="dxa"/>
            <w:noWrap w:val="0"/>
            <w:vAlign w:val="center"/>
          </w:tcPr>
          <w:p>
            <w:pPr>
              <w:pStyle w:val="48"/>
              <w:spacing w:line="380" w:lineRule="exact"/>
              <w:jc w:val="center"/>
              <w:rPr>
                <w:rFonts w:hint="eastAsia" w:eastAsia="宋体"/>
                <w:sz w:val="21"/>
                <w:szCs w:val="21"/>
                <w:highlight w:val="none"/>
                <w:lang w:val="zh-CN" w:eastAsia="zh-CN"/>
              </w:rPr>
            </w:pPr>
            <w:r>
              <w:rPr>
                <w:rFonts w:hint="eastAsia" w:eastAsia="宋体"/>
                <w:sz w:val="21"/>
                <w:szCs w:val="21"/>
                <w:highlight w:val="none"/>
                <w:lang w:val="zh-CN" w:eastAsia="zh-CN"/>
              </w:rPr>
              <w:t xml:space="preserve">运行管理 </w:t>
            </w:r>
          </w:p>
          <w:p>
            <w:pPr>
              <w:pStyle w:val="48"/>
              <w:spacing w:line="380" w:lineRule="exact"/>
              <w:jc w:val="center"/>
              <w:rPr>
                <w:rFonts w:hint="eastAsia" w:eastAsia="宋体"/>
                <w:sz w:val="21"/>
                <w:szCs w:val="21"/>
                <w:highlight w:val="none"/>
                <w:lang w:val="zh-CN" w:eastAsia="zh-CN"/>
              </w:rPr>
            </w:pPr>
            <w:r>
              <w:rPr>
                <w:rFonts w:hint="eastAsia" w:eastAsia="宋体"/>
                <w:sz w:val="21"/>
                <w:szCs w:val="21"/>
                <w:highlight w:val="none"/>
                <w:lang w:val="zh-CN" w:eastAsia="zh-CN"/>
              </w:rPr>
              <w:t>方案</w:t>
            </w:r>
          </w:p>
          <w:p>
            <w:pPr>
              <w:pStyle w:val="48"/>
              <w:spacing w:line="380" w:lineRule="exact"/>
              <w:jc w:val="center"/>
              <w:rPr>
                <w:rFonts w:hint="eastAsia" w:eastAsia="宋体"/>
                <w:sz w:val="21"/>
                <w:szCs w:val="21"/>
                <w:highlight w:val="none"/>
                <w:lang w:val="zh-CN" w:eastAsia="zh-CN"/>
              </w:rPr>
            </w:pPr>
          </w:p>
        </w:tc>
        <w:tc>
          <w:tcPr>
            <w:tcW w:w="967" w:type="dxa"/>
            <w:noWrap w:val="0"/>
            <w:vAlign w:val="center"/>
          </w:tcPr>
          <w:p>
            <w:pPr>
              <w:pStyle w:val="48"/>
              <w:spacing w:line="380" w:lineRule="exact"/>
              <w:jc w:val="center"/>
              <w:rPr>
                <w:rFonts w:hint="eastAsia" w:ascii="宋体" w:hAnsi="宋体" w:eastAsia="宋体" w:cs="宋体"/>
                <w:kern w:val="0"/>
                <w:sz w:val="21"/>
                <w:szCs w:val="21"/>
                <w:highlight w:val="none"/>
                <w:lang w:val="en-US" w:eastAsia="zh-CN" w:bidi="zh-CN"/>
              </w:rPr>
            </w:pPr>
            <w:r>
              <w:rPr>
                <w:rFonts w:hint="eastAsia"/>
                <w:sz w:val="21"/>
                <w:szCs w:val="21"/>
                <w:highlight w:val="none"/>
                <w:lang w:val="en-US" w:eastAsia="zh-CN"/>
              </w:rPr>
              <w:t>25</w:t>
            </w:r>
            <w:r>
              <w:rPr>
                <w:rFonts w:hint="eastAsia" w:eastAsia="宋体"/>
                <w:sz w:val="21"/>
                <w:szCs w:val="21"/>
                <w:highlight w:val="none"/>
                <w:lang w:val="en-US" w:eastAsia="zh-CN"/>
              </w:rPr>
              <w:t>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根据投标人提出的要求，性能可靠，技术先进的运行管理方案进行评分：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1、运行管理方案全面，有针对性，重点突出，能完全满足本项目需要，</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得 16.01-25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2、运行管理方案，有一定针对性，基本满足本项目需要，但存在改善空间，得 8.01-16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3、提供运行管理方案一般，得 0-8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705" w:type="dxa"/>
            <w:noWrap w:val="0"/>
            <w:vAlign w:val="center"/>
          </w:tcPr>
          <w:p>
            <w:pPr>
              <w:pStyle w:val="48"/>
              <w:spacing w:line="380" w:lineRule="exact"/>
              <w:ind w:hanging="3"/>
              <w:jc w:val="center"/>
              <w:rPr>
                <w:rFonts w:hint="eastAsia" w:eastAsia="宋体"/>
                <w:sz w:val="21"/>
                <w:szCs w:val="21"/>
                <w:highlight w:val="none"/>
                <w:lang w:val="en-US" w:eastAsia="zh-CN"/>
              </w:rPr>
            </w:pPr>
            <w:r>
              <w:rPr>
                <w:rFonts w:hint="eastAsia"/>
                <w:sz w:val="21"/>
                <w:szCs w:val="21"/>
                <w:highlight w:val="none"/>
                <w:lang w:val="en-US" w:eastAsia="zh-CN"/>
              </w:rPr>
              <w:t>6</w:t>
            </w:r>
          </w:p>
        </w:tc>
        <w:tc>
          <w:tcPr>
            <w:tcW w:w="1683" w:type="dxa"/>
            <w:noWrap w:val="0"/>
            <w:vAlign w:val="center"/>
          </w:tcPr>
          <w:p>
            <w:pPr>
              <w:pStyle w:val="48"/>
              <w:spacing w:line="380" w:lineRule="exact"/>
              <w:jc w:val="center"/>
              <w:rPr>
                <w:rFonts w:hint="eastAsia" w:eastAsia="宋体"/>
                <w:sz w:val="21"/>
                <w:szCs w:val="21"/>
                <w:highlight w:val="none"/>
                <w:lang w:val="zh-CN" w:eastAsia="zh-CN"/>
              </w:rPr>
            </w:pPr>
            <w:r>
              <w:rPr>
                <w:rFonts w:hint="eastAsia" w:eastAsia="宋体"/>
                <w:sz w:val="21"/>
                <w:szCs w:val="21"/>
                <w:highlight w:val="none"/>
                <w:lang w:val="zh-CN" w:eastAsia="zh-CN"/>
              </w:rPr>
              <w:t>应急方案</w:t>
            </w:r>
          </w:p>
        </w:tc>
        <w:tc>
          <w:tcPr>
            <w:tcW w:w="967" w:type="dxa"/>
            <w:noWrap w:val="0"/>
            <w:vAlign w:val="center"/>
          </w:tcPr>
          <w:p>
            <w:pPr>
              <w:pStyle w:val="48"/>
              <w:spacing w:line="380" w:lineRule="exact"/>
              <w:jc w:val="center"/>
              <w:rPr>
                <w:rFonts w:hint="eastAsia" w:ascii="宋体" w:hAnsi="宋体" w:eastAsia="宋体" w:cs="宋体"/>
                <w:kern w:val="0"/>
                <w:sz w:val="21"/>
                <w:szCs w:val="21"/>
                <w:highlight w:val="none"/>
                <w:lang w:val="zh-CN" w:eastAsia="zh-CN" w:bidi="zh-CN"/>
              </w:rPr>
            </w:pPr>
            <w:r>
              <w:rPr>
                <w:rFonts w:hint="eastAsia"/>
                <w:sz w:val="21"/>
                <w:szCs w:val="21"/>
                <w:highlight w:val="none"/>
                <w:lang w:val="en-US" w:eastAsia="zh-CN"/>
              </w:rPr>
              <w:t>10</w:t>
            </w:r>
            <w:r>
              <w:rPr>
                <w:rFonts w:hint="eastAsia" w:eastAsia="宋体"/>
                <w:sz w:val="21"/>
                <w:szCs w:val="21"/>
                <w:highlight w:val="none"/>
                <w:lang w:val="en-US" w:eastAsia="zh-CN"/>
              </w:rPr>
              <w:t>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zh-CN" w:eastAsia="zh-CN"/>
              </w:rPr>
            </w:pPr>
            <w:r>
              <w:rPr>
                <w:rFonts w:hint="eastAsia" w:eastAsia="宋体"/>
                <w:sz w:val="21"/>
                <w:szCs w:val="21"/>
                <w:highlight w:val="none"/>
                <w:lang w:val="zh-CN" w:eastAsia="zh-CN"/>
              </w:rPr>
              <w:t>提供应急方案，包括风险预防、应急措施、主要处置措施的应急方案：</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zh-CN" w:eastAsia="zh-CN"/>
              </w:rPr>
            </w:pPr>
            <w:r>
              <w:rPr>
                <w:rFonts w:hint="eastAsia" w:eastAsia="宋体"/>
                <w:sz w:val="21"/>
                <w:szCs w:val="21"/>
                <w:highlight w:val="none"/>
                <w:lang w:val="zh-CN" w:eastAsia="zh-CN"/>
              </w:rPr>
              <w:t>1、方案内容多样化、内容详细、清晰完整、切实可行得 7.01-10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zh-CN" w:eastAsia="zh-CN"/>
              </w:rPr>
            </w:pPr>
            <w:r>
              <w:rPr>
                <w:rFonts w:hint="eastAsia" w:eastAsia="宋体"/>
                <w:sz w:val="21"/>
                <w:szCs w:val="21"/>
                <w:highlight w:val="none"/>
                <w:lang w:val="zh-CN" w:eastAsia="zh-CN"/>
              </w:rPr>
              <w:t>2、方案内容详细完整、可操作性较强得 3.01-7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val="zh-CN" w:eastAsia="zh-CN"/>
              </w:rPr>
            </w:pPr>
            <w:r>
              <w:rPr>
                <w:rFonts w:hint="eastAsia" w:eastAsia="宋体"/>
                <w:sz w:val="21"/>
                <w:szCs w:val="21"/>
                <w:highlight w:val="none"/>
                <w:lang w:val="zh-CN" w:eastAsia="zh-CN"/>
              </w:rPr>
              <w:t>3、方案单一、内容简要、可操作性一般得 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705" w:type="dxa"/>
            <w:noWrap w:val="0"/>
            <w:vAlign w:val="center"/>
          </w:tcPr>
          <w:p>
            <w:pPr>
              <w:pStyle w:val="48"/>
              <w:spacing w:line="380" w:lineRule="exact"/>
              <w:ind w:hanging="3"/>
              <w:jc w:val="center"/>
              <w:rPr>
                <w:rFonts w:hint="default"/>
                <w:sz w:val="21"/>
                <w:szCs w:val="21"/>
                <w:highlight w:val="none"/>
                <w:lang w:val="en-US" w:eastAsia="zh-CN"/>
              </w:rPr>
            </w:pPr>
            <w:r>
              <w:rPr>
                <w:rFonts w:hint="eastAsia"/>
                <w:sz w:val="21"/>
                <w:szCs w:val="21"/>
                <w:highlight w:val="none"/>
                <w:lang w:val="en-US" w:eastAsia="zh-CN"/>
              </w:rPr>
              <w:t>7</w:t>
            </w:r>
          </w:p>
        </w:tc>
        <w:tc>
          <w:tcPr>
            <w:tcW w:w="1683" w:type="dxa"/>
            <w:noWrap w:val="0"/>
            <w:vAlign w:val="center"/>
          </w:tcPr>
          <w:p>
            <w:pPr>
              <w:pStyle w:val="48"/>
              <w:spacing w:line="380" w:lineRule="exact"/>
              <w:jc w:val="both"/>
              <w:rPr>
                <w:rFonts w:hint="eastAsia" w:eastAsia="宋体"/>
                <w:sz w:val="21"/>
                <w:szCs w:val="21"/>
                <w:highlight w:val="none"/>
                <w:lang w:eastAsia="zh-CN"/>
              </w:rPr>
            </w:pPr>
            <w:r>
              <w:rPr>
                <w:rFonts w:hint="eastAsia" w:eastAsia="宋体"/>
                <w:sz w:val="21"/>
                <w:szCs w:val="21"/>
                <w:highlight w:val="none"/>
                <w:lang w:eastAsia="zh-CN"/>
              </w:rPr>
              <w:t>质量和服务承诺</w:t>
            </w:r>
          </w:p>
        </w:tc>
        <w:tc>
          <w:tcPr>
            <w:tcW w:w="967" w:type="dxa"/>
            <w:noWrap w:val="0"/>
            <w:vAlign w:val="center"/>
          </w:tcPr>
          <w:p>
            <w:pPr>
              <w:pStyle w:val="48"/>
              <w:spacing w:line="380" w:lineRule="exact"/>
              <w:jc w:val="center"/>
              <w:rPr>
                <w:rFonts w:hint="default" w:eastAsia="宋体"/>
                <w:sz w:val="21"/>
                <w:szCs w:val="21"/>
                <w:highlight w:val="none"/>
                <w:lang w:val="en-US" w:eastAsia="zh-CN"/>
              </w:rPr>
            </w:pPr>
            <w:r>
              <w:rPr>
                <w:rFonts w:hint="eastAsia"/>
                <w:sz w:val="21"/>
                <w:szCs w:val="21"/>
                <w:highlight w:val="none"/>
                <w:lang w:val="en-US" w:eastAsia="zh-CN"/>
              </w:rPr>
              <w:t>10</w:t>
            </w:r>
            <w:r>
              <w:rPr>
                <w:rFonts w:hint="eastAsia" w:eastAsia="宋体"/>
                <w:sz w:val="21"/>
                <w:szCs w:val="21"/>
                <w:highlight w:val="none"/>
                <w:lang w:val="en-US" w:eastAsia="zh-CN"/>
              </w:rPr>
              <w:t>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投标人需提供针对本项目的质量和服务承诺：</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1、质量和服务承诺内容详细、切实可行得 7.01-10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2、质量和服务承诺内容较为详细完整、可操作性较强的得 3.01-7 分；</w:t>
            </w:r>
          </w:p>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default" w:eastAsia="宋体"/>
                <w:sz w:val="21"/>
                <w:szCs w:val="21"/>
                <w:highlight w:val="none"/>
                <w:lang w:val="en-US" w:eastAsia="zh-CN"/>
              </w:rPr>
            </w:pPr>
            <w:r>
              <w:rPr>
                <w:rFonts w:hint="default" w:eastAsia="宋体"/>
                <w:sz w:val="21"/>
                <w:szCs w:val="21"/>
                <w:highlight w:val="none"/>
                <w:lang w:val="en-US" w:eastAsia="zh-CN"/>
              </w:rPr>
              <w:t>3、质量和服务承诺内容简要、可操作性一般的得 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2388" w:type="dxa"/>
            <w:gridSpan w:val="2"/>
            <w:noWrap w:val="0"/>
            <w:vAlign w:val="center"/>
          </w:tcPr>
          <w:p>
            <w:pPr>
              <w:pStyle w:val="48"/>
              <w:spacing w:line="380" w:lineRule="exact"/>
              <w:jc w:val="center"/>
              <w:rPr>
                <w:sz w:val="21"/>
                <w:szCs w:val="21"/>
                <w:highlight w:val="none"/>
              </w:rPr>
            </w:pPr>
            <w:r>
              <w:rPr>
                <w:sz w:val="21"/>
                <w:szCs w:val="21"/>
                <w:highlight w:val="none"/>
              </w:rPr>
              <w:t>合计</w:t>
            </w:r>
          </w:p>
        </w:tc>
        <w:tc>
          <w:tcPr>
            <w:tcW w:w="967" w:type="dxa"/>
            <w:noWrap w:val="0"/>
            <w:vAlign w:val="center"/>
          </w:tcPr>
          <w:p>
            <w:pPr>
              <w:pStyle w:val="48"/>
              <w:spacing w:line="380" w:lineRule="exact"/>
              <w:jc w:val="center"/>
              <w:rPr>
                <w:sz w:val="21"/>
                <w:szCs w:val="21"/>
                <w:highlight w:val="none"/>
                <w:lang w:val="en-US"/>
              </w:rPr>
            </w:pPr>
            <w:r>
              <w:rPr>
                <w:rFonts w:hint="eastAsia"/>
                <w:sz w:val="21"/>
                <w:szCs w:val="21"/>
                <w:highlight w:val="none"/>
                <w:lang w:val="en-US"/>
              </w:rPr>
              <w:t>100分</w:t>
            </w:r>
          </w:p>
        </w:tc>
        <w:tc>
          <w:tcPr>
            <w:tcW w:w="6368" w:type="dxa"/>
            <w:noWrap w:val="0"/>
            <w:vAlign w:val="center"/>
          </w:tcPr>
          <w:p>
            <w:pPr>
              <w:pStyle w:val="48"/>
              <w:keepNext w:val="0"/>
              <w:keepLines w:val="0"/>
              <w:pageBreakBefore w:val="0"/>
              <w:widowControl w:val="0"/>
              <w:kinsoku/>
              <w:wordWrap/>
              <w:overflowPunct/>
              <w:topLinePunct w:val="0"/>
              <w:autoSpaceDE w:val="0"/>
              <w:autoSpaceDN w:val="0"/>
              <w:bidi w:val="0"/>
              <w:adjustRightInd/>
              <w:snapToGrid/>
              <w:spacing w:line="240" w:lineRule="auto"/>
              <w:ind w:left="0" w:right="0" w:rightChars="0"/>
              <w:jc w:val="both"/>
              <w:textAlignment w:val="auto"/>
              <w:rPr>
                <w:rFonts w:hint="eastAsia" w:eastAsia="宋体"/>
                <w:sz w:val="21"/>
                <w:szCs w:val="21"/>
                <w:highlight w:val="none"/>
                <w:lang w:eastAsia="zh-CN"/>
              </w:rPr>
            </w:pPr>
          </w:p>
        </w:tc>
      </w:tr>
    </w:tbl>
    <w:p>
      <w:pP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br w:type="page"/>
      </w:r>
    </w:p>
    <w:p>
      <w:pPr>
        <w:rPr>
          <w:rFonts w:hint="eastAsia" w:ascii="宋体" w:hAnsi="宋体" w:eastAsia="宋体" w:cs="宋体"/>
          <w:b w:val="0"/>
          <w:bCs/>
          <w:color w:val="auto"/>
          <w:szCs w:val="21"/>
          <w:highlight w:val="none"/>
        </w:rPr>
      </w:pPr>
    </w:p>
    <w:p>
      <w:pPr>
        <w:ind w:firstLine="3300" w:firstLineChars="1100"/>
        <w:rPr>
          <w:rFonts w:hint="eastAsia" w:ascii="宋体" w:hAnsi="宋体" w:eastAsia="宋体" w:cs="宋体"/>
          <w:color w:val="auto"/>
          <w:highlight w:val="none"/>
        </w:rPr>
      </w:pPr>
      <w:r>
        <w:rPr>
          <w:rFonts w:hint="eastAsia" w:ascii="宋体" w:hAnsi="宋体" w:eastAsia="宋体" w:cs="宋体"/>
          <w:bCs/>
          <w:color w:val="auto"/>
          <w:sz w:val="30"/>
          <w:szCs w:val="30"/>
          <w:highlight w:val="none"/>
        </w:rPr>
        <w:t xml:space="preserve">第四章 </w:t>
      </w:r>
      <w:r>
        <w:rPr>
          <w:rFonts w:hint="eastAsia" w:ascii="宋体" w:hAnsi="宋体" w:cs="宋体"/>
          <w:bCs/>
          <w:color w:val="auto"/>
          <w:sz w:val="30"/>
          <w:szCs w:val="30"/>
          <w:highlight w:val="none"/>
          <w:lang w:val="en-US" w:eastAsia="zh-CN"/>
        </w:rPr>
        <w:t xml:space="preserve"> </w:t>
      </w:r>
      <w:r>
        <w:rPr>
          <w:rFonts w:hint="eastAsia" w:ascii="宋体" w:hAnsi="宋体" w:eastAsia="宋体" w:cs="宋体"/>
          <w:color w:val="auto"/>
          <w:sz w:val="30"/>
          <w:szCs w:val="30"/>
          <w:highlight w:val="none"/>
        </w:rPr>
        <w:t>政府采购合同</w:t>
      </w:r>
    </w:p>
    <w:p>
      <w:pPr>
        <w:ind w:firstLine="210" w:firstLineChars="100"/>
        <w:jc w:val="center"/>
        <w:rPr>
          <w:rFonts w:hint="eastAsia" w:ascii="宋体" w:hAnsi="宋体" w:cs="宋体"/>
          <w:b/>
          <w:color w:val="auto"/>
          <w:sz w:val="72"/>
          <w:szCs w:val="72"/>
          <w:highlight w:val="none"/>
        </w:rPr>
      </w:pPr>
      <w:bookmarkStart w:id="37" w:name="_Toc430278436"/>
      <w:bookmarkStart w:id="38" w:name="_Toc416111242"/>
      <w:bookmarkStart w:id="39" w:name="_Toc416111090"/>
      <w:r>
        <w:rPr>
          <w:rFonts w:hint="eastAsia" w:hAnsi="宋体" w:cs="宋体"/>
          <w:color w:val="auto"/>
          <w:highlight w:val="none"/>
        </w:rPr>
        <w:t>（本合同文本仅供参考，具体以甲乙双方签订合同为准）</w:t>
      </w:r>
    </w:p>
    <w:p>
      <w:pPr>
        <w:tabs>
          <w:tab w:val="left" w:pos="720"/>
        </w:tabs>
        <w:spacing w:line="360" w:lineRule="auto"/>
        <w:rPr>
          <w:rFonts w:ascii="宋体" w:hAnsi="宋体" w:cs="宋体"/>
          <w:b/>
          <w:color w:val="auto"/>
          <w:sz w:val="44"/>
          <w:szCs w:val="44"/>
          <w:highlight w:val="none"/>
        </w:rPr>
      </w:pPr>
    </w:p>
    <w:p>
      <w:pPr>
        <w:tabs>
          <w:tab w:val="left" w:pos="720"/>
        </w:tabs>
        <w:spacing w:line="360" w:lineRule="auto"/>
        <w:jc w:val="center"/>
        <w:rPr>
          <w:rFonts w:ascii="宋体" w:hAnsi="宋体" w:cs="宋体"/>
          <w:b/>
          <w:color w:val="auto"/>
          <w:sz w:val="44"/>
          <w:szCs w:val="44"/>
          <w:highlight w:val="none"/>
        </w:rPr>
      </w:pPr>
    </w:p>
    <w:p>
      <w:pPr>
        <w:pStyle w:val="17"/>
        <w:snapToGrid w:val="0"/>
        <w:spacing w:line="360" w:lineRule="auto"/>
        <w:ind w:firstLine="720" w:firstLineChars="200"/>
        <w:jc w:val="center"/>
        <w:rPr>
          <w:rFonts w:hint="eastAsia" w:hAnsi="宋体" w:eastAsia="宋体" w:cs="宋体"/>
          <w:color w:val="auto"/>
          <w:sz w:val="36"/>
          <w:szCs w:val="36"/>
          <w:highlight w:val="none"/>
          <w:lang w:val="en-US" w:eastAsia="zh-CN"/>
        </w:rPr>
      </w:pPr>
      <w:r>
        <w:rPr>
          <w:rFonts w:hint="eastAsia" w:hAnsi="宋体" w:cs="宋体"/>
          <w:color w:val="auto"/>
          <w:sz w:val="36"/>
          <w:szCs w:val="36"/>
          <w:highlight w:val="none"/>
        </w:rPr>
        <w:t>______________项目</w:t>
      </w:r>
      <w:r>
        <w:rPr>
          <w:rFonts w:hint="eastAsia" w:hAnsi="宋体" w:cs="宋体"/>
          <w:color w:val="auto"/>
          <w:sz w:val="36"/>
          <w:szCs w:val="36"/>
          <w:highlight w:val="none"/>
          <w:lang w:val="en-US" w:eastAsia="zh-CN"/>
        </w:rPr>
        <w:t>合同</w:t>
      </w:r>
    </w:p>
    <w:p>
      <w:pPr>
        <w:pStyle w:val="17"/>
        <w:snapToGrid w:val="0"/>
        <w:spacing w:line="360" w:lineRule="auto"/>
        <w:ind w:firstLine="420" w:firstLineChars="200"/>
        <w:jc w:val="center"/>
        <w:rPr>
          <w:rFonts w:hint="eastAsia" w:hAnsi="宋体" w:cs="宋体"/>
          <w:color w:val="auto"/>
          <w:highlight w:val="none"/>
        </w:rPr>
      </w:pPr>
    </w:p>
    <w:p>
      <w:pPr>
        <w:pStyle w:val="17"/>
        <w:snapToGrid w:val="0"/>
        <w:spacing w:line="360" w:lineRule="auto"/>
        <w:ind w:firstLine="420" w:firstLineChars="200"/>
        <w:jc w:val="center"/>
        <w:rPr>
          <w:rFonts w:hint="eastAsia" w:hAnsi="宋体" w:cs="宋体"/>
          <w:color w:val="auto"/>
          <w:highlight w:val="none"/>
        </w:rPr>
      </w:pPr>
    </w:p>
    <w:p>
      <w:pPr>
        <w:pStyle w:val="17"/>
        <w:snapToGrid w:val="0"/>
        <w:spacing w:line="360" w:lineRule="auto"/>
        <w:ind w:firstLine="420" w:firstLineChars="200"/>
        <w:jc w:val="center"/>
        <w:rPr>
          <w:rFonts w:hint="eastAsia" w:hAnsi="宋体" w:cs="宋体"/>
          <w:color w:val="auto"/>
          <w:highlight w:val="none"/>
        </w:rPr>
      </w:pPr>
    </w:p>
    <w:p>
      <w:pPr>
        <w:pStyle w:val="17"/>
        <w:snapToGrid w:val="0"/>
        <w:spacing w:line="360" w:lineRule="auto"/>
        <w:ind w:firstLine="420" w:firstLineChars="200"/>
        <w:jc w:val="center"/>
        <w:rPr>
          <w:rFonts w:hint="eastAsia" w:hAnsi="宋体" w:cs="宋体"/>
          <w:color w:val="auto"/>
          <w:highlight w:val="none"/>
        </w:rPr>
      </w:pPr>
    </w:p>
    <w:p>
      <w:pPr>
        <w:pStyle w:val="17"/>
        <w:snapToGrid w:val="0"/>
        <w:spacing w:line="360" w:lineRule="auto"/>
        <w:rPr>
          <w:rFonts w:hint="eastAsia" w:hAnsi="宋体" w:cs="宋体"/>
          <w:color w:val="auto"/>
          <w:highlight w:val="none"/>
        </w:rPr>
      </w:pPr>
    </w:p>
    <w:p>
      <w:pPr>
        <w:pStyle w:val="17"/>
        <w:snapToGrid w:val="0"/>
        <w:spacing w:line="360" w:lineRule="auto"/>
        <w:ind w:firstLine="420" w:firstLineChars="200"/>
        <w:rPr>
          <w:rFonts w:hint="eastAsia" w:hAnsi="宋体" w:cs="宋体"/>
          <w:color w:val="auto"/>
          <w:highlight w:val="none"/>
        </w:rPr>
      </w:pPr>
    </w:p>
    <w:p>
      <w:pPr>
        <w:pStyle w:val="17"/>
        <w:snapToGrid w:val="0"/>
        <w:spacing w:line="360" w:lineRule="auto"/>
        <w:ind w:firstLine="420" w:firstLineChars="200"/>
        <w:rPr>
          <w:rFonts w:hint="eastAsia" w:hAnsi="宋体" w:cs="宋体"/>
          <w:color w:val="auto"/>
          <w:highlight w:val="none"/>
        </w:rPr>
      </w:pPr>
    </w:p>
    <w:p>
      <w:pPr>
        <w:pStyle w:val="17"/>
        <w:snapToGrid w:val="0"/>
        <w:spacing w:line="360" w:lineRule="auto"/>
        <w:rPr>
          <w:rFonts w:hint="eastAsia" w:hAnsi="宋体" w:cs="宋体"/>
          <w:color w:val="auto"/>
          <w:highlight w:val="none"/>
        </w:rPr>
      </w:pPr>
    </w:p>
    <w:p>
      <w:pPr>
        <w:pStyle w:val="17"/>
        <w:snapToGrid w:val="0"/>
        <w:spacing w:line="360" w:lineRule="auto"/>
        <w:ind w:firstLine="420" w:firstLineChars="200"/>
        <w:rPr>
          <w:rFonts w:hint="eastAsia" w:hAnsi="宋体" w:cs="宋体"/>
          <w:color w:val="auto"/>
          <w:highlight w:val="none"/>
        </w:rPr>
      </w:pPr>
    </w:p>
    <w:p>
      <w:pPr>
        <w:pStyle w:val="17"/>
        <w:snapToGrid w:val="0"/>
        <w:spacing w:line="360" w:lineRule="auto"/>
        <w:ind w:firstLine="2551" w:firstLineChars="1215"/>
        <w:rPr>
          <w:rFonts w:hint="eastAsia" w:hAnsi="宋体" w:cs="宋体"/>
          <w:color w:val="auto"/>
          <w:highlight w:val="none"/>
        </w:rPr>
      </w:pPr>
      <w:r>
        <w:rPr>
          <w:rFonts w:hint="eastAsia" w:hAnsi="宋体" w:cs="宋体"/>
          <w:color w:val="auto"/>
          <w:highlight w:val="none"/>
        </w:rPr>
        <w:t>合同编号：________________</w:t>
      </w:r>
    </w:p>
    <w:p>
      <w:pPr>
        <w:pStyle w:val="17"/>
        <w:snapToGrid w:val="0"/>
        <w:spacing w:line="360" w:lineRule="auto"/>
        <w:ind w:firstLine="2551" w:firstLineChars="1215"/>
        <w:rPr>
          <w:rFonts w:hint="eastAsia" w:hAnsi="宋体" w:cs="宋体"/>
          <w:color w:val="auto"/>
          <w:highlight w:val="none"/>
        </w:rPr>
      </w:pPr>
    </w:p>
    <w:p>
      <w:pPr>
        <w:pStyle w:val="17"/>
        <w:snapToGrid w:val="0"/>
        <w:spacing w:line="360" w:lineRule="auto"/>
        <w:ind w:firstLine="2551" w:firstLineChars="1215"/>
        <w:rPr>
          <w:rFonts w:hint="eastAsia" w:hAnsi="宋体" w:cs="宋体"/>
          <w:color w:val="auto"/>
          <w:highlight w:val="none"/>
        </w:rPr>
      </w:pPr>
      <w:r>
        <w:rPr>
          <w:rFonts w:hint="eastAsia" w:hAnsi="宋体" w:cs="宋体"/>
          <w:color w:val="auto"/>
          <w:highlight w:val="none"/>
        </w:rPr>
        <w:t>甲　　方：________________(采购人名称)</w:t>
      </w:r>
    </w:p>
    <w:p>
      <w:pPr>
        <w:pStyle w:val="17"/>
        <w:snapToGrid w:val="0"/>
        <w:spacing w:line="360" w:lineRule="auto"/>
        <w:ind w:firstLine="2551" w:firstLineChars="1215"/>
        <w:rPr>
          <w:rFonts w:hint="eastAsia" w:hAnsi="宋体" w:cs="宋体"/>
          <w:color w:val="auto"/>
          <w:highlight w:val="none"/>
        </w:rPr>
      </w:pPr>
    </w:p>
    <w:p>
      <w:pPr>
        <w:pStyle w:val="17"/>
        <w:snapToGrid w:val="0"/>
        <w:spacing w:line="360" w:lineRule="auto"/>
        <w:ind w:firstLine="2551" w:firstLineChars="1215"/>
        <w:rPr>
          <w:rFonts w:hint="eastAsia" w:hAnsi="宋体" w:cs="宋体"/>
          <w:color w:val="auto"/>
          <w:highlight w:val="none"/>
        </w:rPr>
      </w:pPr>
      <w:r>
        <w:rPr>
          <w:rFonts w:hint="eastAsia" w:hAnsi="宋体" w:cs="宋体"/>
          <w:color w:val="auto"/>
          <w:highlight w:val="none"/>
        </w:rPr>
        <w:t>乙　　方：________________(中标人名称)</w:t>
      </w:r>
    </w:p>
    <w:p>
      <w:pPr>
        <w:pStyle w:val="17"/>
        <w:snapToGrid w:val="0"/>
        <w:spacing w:line="360" w:lineRule="auto"/>
        <w:ind w:firstLine="2551" w:firstLineChars="1215"/>
        <w:rPr>
          <w:rFonts w:hint="eastAsia" w:hAnsi="宋体" w:cs="宋体"/>
          <w:color w:val="auto"/>
          <w:highlight w:val="none"/>
        </w:rPr>
      </w:pPr>
    </w:p>
    <w:p>
      <w:pPr>
        <w:pStyle w:val="17"/>
        <w:snapToGrid w:val="0"/>
        <w:spacing w:line="360" w:lineRule="auto"/>
        <w:ind w:firstLine="2551" w:firstLineChars="1215"/>
        <w:rPr>
          <w:rFonts w:hint="eastAsia" w:hAnsi="宋体" w:cs="宋体"/>
          <w:color w:val="auto"/>
          <w:highlight w:val="none"/>
        </w:rPr>
      </w:pPr>
      <w:r>
        <w:rPr>
          <w:rFonts w:hint="eastAsia" w:hAnsi="宋体" w:cs="宋体"/>
          <w:color w:val="auto"/>
          <w:highlight w:val="none"/>
        </w:rPr>
        <w:t>日　　期：______年______月______日</w:t>
      </w:r>
    </w:p>
    <w:p>
      <w:pPr>
        <w:numPr>
          <w:ilvl w:val="0"/>
          <w:numId w:val="4"/>
        </w:numPr>
        <w:snapToGrid w:val="0"/>
        <w:spacing w:line="360" w:lineRule="auto"/>
        <w:ind w:left="210" w:leftChars="0" w:firstLine="0" w:firstLineChars="0"/>
        <w:rPr>
          <w:rFonts w:hint="eastAsia" w:ascii="宋体" w:hAnsi="宋体" w:eastAsia="宋体" w:cs="宋体"/>
          <w:color w:val="auto"/>
          <w:sz w:val="21"/>
          <w:szCs w:val="21"/>
          <w:highlight w:val="none"/>
        </w:rPr>
      </w:pPr>
      <w:r>
        <w:rPr>
          <w:rFonts w:hint="eastAsia" w:ascii="宋体" w:hAnsi="宋体" w:cs="宋体"/>
          <w:color w:val="auto"/>
          <w:highlight w:val="none"/>
        </w:rPr>
        <w:br w:type="page"/>
      </w:r>
      <w:r>
        <w:rPr>
          <w:rFonts w:hint="eastAsia" w:ascii="宋体" w:hAnsi="宋体" w:eastAsia="宋体" w:cs="宋体"/>
          <w:color w:val="auto"/>
          <w:sz w:val="21"/>
          <w:szCs w:val="21"/>
          <w:highlight w:val="none"/>
        </w:rPr>
        <w:t>合同主体</w:t>
      </w:r>
    </w:p>
    <w:p>
      <w:pPr>
        <w:numPr>
          <w:ilvl w:val="0"/>
          <w:numId w:val="4"/>
        </w:numPr>
        <w:snapToGrid w:val="0"/>
        <w:spacing w:line="360" w:lineRule="auto"/>
        <w:ind w:left="21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合同组成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下列文件作为合同附件构成本合同不可分割的部分，并按照以下顺序作为合同的优先顺序：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1.《竞争性磋商文件》及其补充通知；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2.《响应文件》及其澄清文件；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3.“成交通知书”；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4.其他资料；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三、合同范围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四、合同金额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五、付款方式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秦皇岛</w:t>
      </w:r>
      <w:r>
        <w:rPr>
          <w:rFonts w:hint="eastAsia" w:ascii="宋体" w:hAnsi="宋体" w:cs="宋体"/>
          <w:color w:val="auto"/>
          <w:sz w:val="21"/>
          <w:szCs w:val="21"/>
          <w:highlight w:val="none"/>
          <w:lang w:eastAsia="zh-CN"/>
        </w:rPr>
        <w:t>市民政局聘请第三方对补贴费用进行审计，并依据第三方出具的审计报告认定金额据实一次性拨付补贴款。</w:t>
      </w:r>
      <w:r>
        <w:rPr>
          <w:rFonts w:hint="eastAsia" w:ascii="宋体" w:hAnsi="宋体" w:eastAsia="宋体" w:cs="宋体"/>
          <w:color w:val="auto"/>
          <w:sz w:val="21"/>
          <w:szCs w:val="21"/>
          <w:highlight w:val="none"/>
        </w:rPr>
        <w:t xml:space="preserve"> </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六、合同履行期限： </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rPr>
        <w:t>。</w:t>
      </w:r>
    </w:p>
    <w:p>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 xml:space="preserve">、合同履约地点  采购单位指定地点。 </w:t>
      </w:r>
    </w:p>
    <w:p>
      <w:pPr>
        <w:pStyle w:val="25"/>
        <w:jc w:val="both"/>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br w:type="page"/>
      </w:r>
    </w:p>
    <w:p>
      <w:pPr>
        <w:pStyle w:val="25"/>
        <w:outlineLvl w:val="1"/>
        <w:rPr>
          <w:rFonts w:hint="eastAsia" w:ascii="宋体" w:hAnsi="宋体" w:eastAsia="宋体" w:cs="宋体"/>
          <w:color w:val="auto"/>
          <w:kern w:val="0"/>
          <w:sz w:val="30"/>
          <w:szCs w:val="30"/>
          <w:highlight w:val="none"/>
          <w:shd w:val="clear" w:color="auto" w:fill="FFFFFF"/>
        </w:rPr>
      </w:pPr>
      <w:r>
        <w:rPr>
          <w:rFonts w:hint="eastAsia" w:ascii="宋体" w:hAnsi="宋体" w:eastAsia="宋体" w:cs="宋体"/>
          <w:color w:val="auto"/>
          <w:kern w:val="0"/>
          <w:sz w:val="30"/>
          <w:szCs w:val="30"/>
          <w:highlight w:val="none"/>
          <w:shd w:val="clear" w:color="auto" w:fill="FFFFFF"/>
        </w:rPr>
        <w:t>第五章  响应文件</w:t>
      </w:r>
      <w:bookmarkEnd w:id="37"/>
      <w:bookmarkEnd w:id="38"/>
      <w:bookmarkEnd w:id="39"/>
      <w:r>
        <w:rPr>
          <w:rFonts w:hint="eastAsia" w:ascii="宋体" w:hAnsi="宋体" w:eastAsia="宋体" w:cs="宋体"/>
          <w:color w:val="auto"/>
          <w:kern w:val="0"/>
          <w:sz w:val="30"/>
          <w:szCs w:val="30"/>
          <w:highlight w:val="none"/>
          <w:shd w:val="clear" w:color="auto" w:fill="FFFFFF"/>
        </w:rPr>
        <w:t>组成</w:t>
      </w:r>
    </w:p>
    <w:p>
      <w:pPr>
        <w:spacing w:line="360" w:lineRule="auto"/>
        <w:rPr>
          <w:rFonts w:hint="eastAsia" w:ascii="宋体" w:hAnsi="宋体" w:eastAsia="宋体" w:cs="宋体"/>
          <w:color w:val="auto"/>
          <w:w w:val="90"/>
          <w:sz w:val="30"/>
          <w:szCs w:val="30"/>
          <w:highlight w:val="none"/>
        </w:rPr>
      </w:pPr>
    </w:p>
    <w:p>
      <w:pPr>
        <w:spacing w:line="360" w:lineRule="auto"/>
        <w:jc w:val="right"/>
        <w:rPr>
          <w:rFonts w:hint="eastAsia" w:ascii="宋体" w:hAnsi="宋体" w:eastAsia="宋体" w:cs="宋体"/>
          <w:color w:val="auto"/>
          <w:sz w:val="32"/>
          <w:highlight w:val="none"/>
          <w:bdr w:val="single" w:color="auto" w:sz="4" w:space="0"/>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32"/>
          <w:highlight w:val="none"/>
        </w:rPr>
      </w:pPr>
      <w:r>
        <w:rPr>
          <w:rFonts w:hint="eastAsia" w:ascii="宋体" w:hAnsi="宋体" w:cs="宋体"/>
          <w:color w:val="auto"/>
          <w:sz w:val="36"/>
          <w:szCs w:val="36"/>
          <w:highlight w:val="none"/>
          <w:lang w:eastAsia="zh-CN"/>
        </w:rPr>
        <w:t>2023年度康复辅助器具社区租赁服务</w:t>
      </w:r>
    </w:p>
    <w:p>
      <w:pPr>
        <w:spacing w:line="360" w:lineRule="auto"/>
        <w:jc w:val="center"/>
        <w:rPr>
          <w:rFonts w:hint="eastAsia" w:ascii="宋体" w:hAnsi="宋体" w:eastAsia="宋体" w:cs="宋体"/>
          <w:color w:val="auto"/>
          <w:spacing w:val="10"/>
          <w:sz w:val="84"/>
          <w:szCs w:val="84"/>
          <w:highlight w:val="none"/>
        </w:rPr>
      </w:pPr>
      <w:r>
        <w:rPr>
          <w:rFonts w:hint="eastAsia" w:ascii="宋体" w:hAnsi="宋体" w:eastAsia="宋体" w:cs="宋体"/>
          <w:color w:val="auto"/>
          <w:spacing w:val="10"/>
          <w:sz w:val="84"/>
          <w:szCs w:val="84"/>
          <w:highlight w:val="none"/>
        </w:rPr>
        <w:t>响 应 文 件</w:t>
      </w:r>
    </w:p>
    <w:p>
      <w:pPr>
        <w:spacing w:line="360" w:lineRule="auto"/>
        <w:rPr>
          <w:rFonts w:hint="eastAsia" w:ascii="宋体" w:hAnsi="宋体" w:eastAsia="宋体" w:cs="宋体"/>
          <w:color w:val="auto"/>
          <w:highlight w:val="none"/>
        </w:rPr>
      </w:pPr>
    </w:p>
    <w:p>
      <w:pPr>
        <w:spacing w:line="360" w:lineRule="auto"/>
        <w:ind w:firstLine="1920" w:firstLineChars="600"/>
        <w:jc w:val="both"/>
        <w:rPr>
          <w:rFonts w:hint="eastAsia" w:ascii="宋体" w:hAnsi="宋体" w:cs="宋体"/>
          <w:color w:val="auto"/>
          <w:sz w:val="32"/>
          <w:szCs w:val="32"/>
          <w:highlight w:val="none"/>
          <w:lang w:val="en-US" w:eastAsia="zh-CN"/>
        </w:rPr>
      </w:pPr>
    </w:p>
    <w:p>
      <w:pPr>
        <w:spacing w:line="360" w:lineRule="auto"/>
        <w:ind w:firstLine="1920" w:firstLineChars="600"/>
        <w:jc w:val="both"/>
        <w:rPr>
          <w:rFonts w:hint="eastAsia" w:ascii="宋体" w:hAnsi="宋体" w:eastAsia="宋体" w:cs="宋体"/>
          <w:color w:val="auto"/>
          <w:highlight w:val="none"/>
          <w:lang w:val="en-US" w:eastAsia="zh-CN"/>
        </w:rPr>
      </w:pPr>
      <w:r>
        <w:rPr>
          <w:rFonts w:hint="eastAsia" w:ascii="宋体" w:hAnsi="宋体" w:cs="宋体"/>
          <w:color w:val="auto"/>
          <w:sz w:val="32"/>
          <w:szCs w:val="32"/>
          <w:highlight w:val="none"/>
          <w:lang w:val="en-US" w:eastAsia="zh-CN"/>
        </w:rPr>
        <w:t>项目编号：</w:t>
      </w: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eastAsia="zh-CN"/>
        </w:rPr>
        <w:t>秦皇岛市民政局</w:t>
      </w:r>
    </w:p>
    <w:p>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ascii="宋体" w:hAnsi="宋体" w:cs="宋体"/>
          <w:color w:val="auto"/>
          <w:sz w:val="32"/>
          <w:szCs w:val="32"/>
          <w:highlight w:val="none"/>
          <w:lang w:eastAsia="zh-CN"/>
        </w:rPr>
        <w:t>河北可誉工程项目管理有限公司</w:t>
      </w:r>
    </w:p>
    <w:p>
      <w:pPr>
        <w:spacing w:line="360" w:lineRule="auto"/>
        <w:jc w:val="center"/>
        <w:rPr>
          <w:rFonts w:hint="eastAsia" w:ascii="宋体" w:hAnsi="宋体" w:eastAsia="宋体" w:cs="宋体"/>
          <w:bCs/>
          <w:color w:val="auto"/>
          <w:sz w:val="28"/>
          <w:highlight w:val="none"/>
        </w:rPr>
      </w:pPr>
    </w:p>
    <w:p>
      <w:pPr>
        <w:spacing w:line="360" w:lineRule="auto"/>
        <w:jc w:val="center"/>
        <w:rPr>
          <w:rFonts w:hint="eastAsia" w:ascii="宋体" w:hAnsi="宋体" w:eastAsia="宋体" w:cs="宋体"/>
          <w:bCs/>
          <w:color w:val="auto"/>
          <w:sz w:val="28"/>
          <w:highlight w:val="none"/>
        </w:rPr>
      </w:pPr>
      <w:r>
        <w:rPr>
          <w:rFonts w:hint="eastAsia" w:ascii="宋体" w:hAnsi="宋体" w:eastAsia="宋体" w:cs="宋体"/>
          <w:bCs/>
          <w:color w:val="auto"/>
          <w:sz w:val="28"/>
          <w:highlight w:val="none"/>
        </w:rPr>
        <w:t>供应商(</w:t>
      </w:r>
      <w:r>
        <w:rPr>
          <w:rFonts w:hint="eastAsia" w:ascii="宋体" w:hAnsi="宋体" w:eastAsia="宋体" w:cs="宋体"/>
          <w:bCs/>
          <w:color w:val="auto"/>
          <w:sz w:val="28"/>
          <w:highlight w:val="none"/>
          <w:lang w:eastAsia="zh-CN"/>
        </w:rPr>
        <w:t>法人公章</w:t>
      </w:r>
      <w:r>
        <w:rPr>
          <w:rFonts w:hint="eastAsia" w:ascii="宋体" w:hAnsi="宋体" w:eastAsia="宋体" w:cs="宋体"/>
          <w:bCs/>
          <w:color w:val="auto"/>
          <w:sz w:val="28"/>
          <w:highlight w:val="none"/>
        </w:rPr>
        <w:t>):           法定代表人(印章):</w:t>
      </w:r>
    </w:p>
    <w:p>
      <w:pP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rPr>
        <w:t>年   月   日</w:t>
      </w:r>
    </w:p>
    <w:p>
      <w:pPr>
        <w:pStyle w:val="17"/>
        <w:snapToGrid w:val="0"/>
        <w:spacing w:line="360" w:lineRule="auto"/>
        <w:ind w:firstLine="60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0"/>
          <w:szCs w:val="30"/>
          <w:highlight w:val="none"/>
        </w:rPr>
        <w:br w:type="page"/>
      </w:r>
      <w:bookmarkStart w:id="40" w:name="_Toc57575172"/>
      <w:r>
        <w:rPr>
          <w:rFonts w:hint="eastAsia" w:ascii="宋体" w:hAnsi="宋体" w:eastAsia="宋体" w:cs="宋体"/>
          <w:b/>
          <w:bCs/>
          <w:color w:val="auto"/>
          <w:sz w:val="24"/>
          <w:szCs w:val="24"/>
          <w:highlight w:val="none"/>
        </w:rPr>
        <w:t>目 录</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一、供应商磋商代表身份证明</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二、</w:t>
      </w:r>
      <w:r>
        <w:rPr>
          <w:rFonts w:hint="eastAsia" w:ascii="宋体" w:hAnsi="宋体" w:eastAsia="宋体" w:cs="宋体"/>
          <w:color w:val="auto"/>
          <w:sz w:val="24"/>
          <w:szCs w:val="24"/>
          <w:highlight w:val="none"/>
        </w:rPr>
        <w:t>磋商响应声明</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三、</w:t>
      </w:r>
      <w:r>
        <w:rPr>
          <w:rFonts w:hint="eastAsia" w:ascii="宋体" w:hAnsi="宋体" w:eastAsia="宋体" w:cs="宋体"/>
          <w:color w:val="auto"/>
          <w:sz w:val="24"/>
          <w:szCs w:val="24"/>
          <w:highlight w:val="none"/>
        </w:rPr>
        <w:t>报价一览表</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四、</w:t>
      </w:r>
      <w:r>
        <w:rPr>
          <w:rFonts w:hint="eastAsia" w:ascii="宋体" w:hAnsi="宋体" w:eastAsia="宋体" w:cs="宋体"/>
          <w:color w:val="auto"/>
          <w:sz w:val="24"/>
          <w:szCs w:val="24"/>
          <w:highlight w:val="none"/>
        </w:rPr>
        <w:t>偏离表</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rPr>
        <w:t>供应商的资格证明文件</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六、</w:t>
      </w:r>
      <w:r>
        <w:rPr>
          <w:rFonts w:hint="eastAsia" w:hAnsi="宋体" w:cs="宋体"/>
          <w:color w:val="auto"/>
          <w:sz w:val="24"/>
          <w:szCs w:val="24"/>
          <w:highlight w:val="none"/>
          <w:lang w:eastAsia="zh-CN"/>
        </w:rPr>
        <w:t>技术文件</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七</w:t>
      </w:r>
      <w:r>
        <w:rPr>
          <w:rFonts w:hint="eastAsia" w:hAnsi="宋体" w:cs="宋体"/>
          <w:color w:val="auto"/>
          <w:sz w:val="24"/>
          <w:szCs w:val="24"/>
          <w:highlight w:val="none"/>
          <w:lang w:eastAsia="zh-CN"/>
        </w:rPr>
        <w:t>、</w:t>
      </w:r>
      <w:r>
        <w:rPr>
          <w:rFonts w:hint="eastAsia" w:hAnsi="宋体" w:cs="宋体"/>
          <w:color w:val="auto"/>
          <w:sz w:val="24"/>
          <w:szCs w:val="24"/>
          <w:highlight w:val="none"/>
          <w:lang w:val="zh-CN"/>
        </w:rPr>
        <w:t>质量和售后服务承诺</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八、政府采购相关政策文件</w:t>
      </w: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rPr>
          <w:rFonts w:hint="eastAsia" w:ascii="宋体" w:hAnsi="宋体" w:eastAsia="宋体" w:cs="宋体"/>
          <w:color w:val="auto"/>
          <w:sz w:val="24"/>
          <w:szCs w:val="24"/>
          <w:highlight w:val="none"/>
          <w:lang w:val="zh-CN"/>
        </w:rPr>
      </w:pPr>
      <w:r>
        <w:rPr>
          <w:rFonts w:hint="eastAsia"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zh-CN"/>
        </w:rPr>
        <w:t>供应商认为需提供的其他材料</w:t>
      </w:r>
    </w:p>
    <w:p>
      <w:pPr>
        <w:pStyle w:val="17"/>
        <w:adjustRightInd w:val="0"/>
        <w:snapToGrid w:val="0"/>
        <w:spacing w:line="360" w:lineRule="auto"/>
        <w:ind w:firstLine="420" w:firstLineChars="175"/>
        <w:rPr>
          <w:rFonts w:hint="eastAsia" w:ascii="宋体" w:hAnsi="宋体" w:eastAsia="宋体" w:cs="宋体"/>
          <w:color w:val="auto"/>
          <w:sz w:val="24"/>
          <w:szCs w:val="24"/>
          <w:highlight w:val="none"/>
          <w:lang w:val="zh-CN"/>
        </w:rPr>
      </w:pPr>
    </w:p>
    <w:p>
      <w:pPr>
        <w:pStyle w:val="6"/>
        <w:keepNext w:val="0"/>
        <w:keepLines w:val="0"/>
        <w:ind w:left="0" w:leftChars="0" w:firstLine="0" w:firstLineChars="0"/>
        <w:jc w:val="center"/>
        <w:outlineLvl w:val="2"/>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0"/>
          <w:szCs w:val="30"/>
          <w:highlight w:val="none"/>
        </w:rPr>
        <w:br w:type="page"/>
      </w:r>
      <w:bookmarkEnd w:id="40"/>
      <w:r>
        <w:rPr>
          <w:rFonts w:hint="eastAsia" w:ascii="宋体" w:hAnsi="宋体" w:eastAsia="宋体" w:cs="宋体"/>
          <w:color w:val="auto"/>
          <w:sz w:val="24"/>
          <w:szCs w:val="24"/>
          <w:highlight w:val="none"/>
          <w:lang w:eastAsia="zh-CN"/>
        </w:rPr>
        <w:t>一、供应商磋商</w:t>
      </w:r>
      <w:r>
        <w:rPr>
          <w:rFonts w:hint="eastAsia" w:ascii="宋体" w:hAnsi="宋体" w:eastAsia="宋体" w:cs="宋体"/>
          <w:color w:val="auto"/>
          <w:sz w:val="24"/>
          <w:szCs w:val="24"/>
          <w:highlight w:val="none"/>
        </w:rPr>
        <w:t>代表身份证明</w:t>
      </w:r>
    </w:p>
    <w:p>
      <w:pPr>
        <w:outlineLvl w:val="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附件一：法定代表人身份证明（法定代表人参加磋商）</w:t>
      </w:r>
    </w:p>
    <w:p>
      <w:pPr>
        <w:pStyle w:val="2"/>
        <w:rPr>
          <w:rFonts w:hint="eastAsia" w:ascii="宋体" w:hAnsi="宋体" w:eastAsia="宋体" w:cs="宋体"/>
          <w:color w:val="auto"/>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法定代表人身份证明复印件（法定代表人参加磋商）</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480" w:lineRule="auto"/>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系</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的法定代表人。</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adjustRightInd w:val="0"/>
        <w:snapToGrid w:val="0"/>
        <w:spacing w:line="480" w:lineRule="exact"/>
        <w:rPr>
          <w:rFonts w:hint="eastAsia" w:ascii="宋体" w:hAnsi="宋体" w:eastAsia="宋体" w:cs="宋体"/>
          <w:snapToGrid w:val="0"/>
          <w:color w:val="auto"/>
          <w:spacing w:val="8"/>
          <w:kern w:val="0"/>
          <w:sz w:val="24"/>
          <w:szCs w:val="24"/>
          <w:highlight w:val="none"/>
        </w:rPr>
      </w:pPr>
    </w:p>
    <w:tbl>
      <w:tblPr>
        <w:tblStyle w:val="27"/>
        <w:tblW w:w="7770" w:type="dxa"/>
        <w:tblInd w:w="1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7770" w:type="dxa"/>
            <w:noWrap w:val="0"/>
            <w:vAlign w:val="top"/>
          </w:tcPr>
          <w:p>
            <w:pPr>
              <w:adjustRightInd w:val="0"/>
              <w:snapToGrid w:val="0"/>
              <w:spacing w:line="480" w:lineRule="exact"/>
              <w:ind w:firstLine="2048" w:firstLineChars="800"/>
              <w:jc w:val="center"/>
              <w:rPr>
                <w:rFonts w:hint="eastAsia" w:ascii="宋体" w:hAnsi="宋体" w:eastAsia="宋体" w:cs="宋体"/>
                <w:snapToGrid w:val="0"/>
                <w:color w:val="auto"/>
                <w:spacing w:val="8"/>
                <w:kern w:val="0"/>
                <w:sz w:val="24"/>
                <w:szCs w:val="24"/>
                <w:highlight w:val="none"/>
              </w:rPr>
            </w:pPr>
          </w:p>
          <w:p>
            <w:pPr>
              <w:adjustRightInd w:val="0"/>
              <w:snapToGrid w:val="0"/>
              <w:spacing w:line="480" w:lineRule="exact"/>
              <w:jc w:val="center"/>
              <w:rPr>
                <w:rFonts w:hint="eastAsia" w:ascii="宋体" w:hAnsi="宋体" w:eastAsia="宋体" w:cs="宋体"/>
                <w:b/>
                <w:snapToGrid w:val="0"/>
                <w:color w:val="auto"/>
                <w:spacing w:val="8"/>
                <w:kern w:val="0"/>
                <w:sz w:val="24"/>
                <w:szCs w:val="24"/>
                <w:highlight w:val="none"/>
              </w:rPr>
            </w:pPr>
          </w:p>
          <w:p>
            <w:pPr>
              <w:adjustRightInd w:val="0"/>
              <w:snapToGrid w:val="0"/>
              <w:spacing w:line="480" w:lineRule="exact"/>
              <w:jc w:val="center"/>
              <w:rPr>
                <w:rFonts w:hint="eastAsia" w:ascii="宋体" w:hAnsi="宋体" w:eastAsia="宋体" w:cs="宋体"/>
                <w:b/>
                <w:snapToGrid w:val="0"/>
                <w:color w:val="auto"/>
                <w:spacing w:val="8"/>
                <w:kern w:val="0"/>
                <w:sz w:val="24"/>
                <w:szCs w:val="24"/>
                <w:highlight w:val="none"/>
              </w:rPr>
            </w:pPr>
          </w:p>
          <w:p>
            <w:pPr>
              <w:adjustRightInd w:val="0"/>
              <w:snapToGrid w:val="0"/>
              <w:spacing w:line="480" w:lineRule="exact"/>
              <w:ind w:firstLine="1280" w:firstLineChars="500"/>
              <w:rPr>
                <w:rFonts w:hint="eastAsia" w:ascii="宋体" w:hAnsi="宋体" w:eastAsia="宋体" w:cs="宋体"/>
                <w:b/>
                <w:snapToGrid w:val="0"/>
                <w:color w:val="auto"/>
                <w:spacing w:val="8"/>
                <w:kern w:val="0"/>
                <w:sz w:val="24"/>
                <w:szCs w:val="24"/>
                <w:highlight w:val="none"/>
                <w:lang w:eastAsia="zh-CN"/>
              </w:rPr>
            </w:pPr>
            <w:r>
              <w:rPr>
                <w:rFonts w:hint="eastAsia" w:ascii="宋体" w:hAnsi="宋体" w:eastAsia="宋体" w:cs="宋体"/>
                <w:snapToGrid w:val="0"/>
                <w:color w:val="auto"/>
                <w:spacing w:val="8"/>
                <w:kern w:val="0"/>
                <w:sz w:val="24"/>
                <w:szCs w:val="24"/>
                <w:highlight w:val="none"/>
              </w:rPr>
              <w:t>此处</w:t>
            </w:r>
            <w:r>
              <w:rPr>
                <w:rFonts w:hint="eastAsia" w:ascii="宋体" w:hAnsi="宋体" w:cs="宋体"/>
                <w:snapToGrid w:val="0"/>
                <w:color w:val="auto"/>
                <w:spacing w:val="8"/>
                <w:kern w:val="0"/>
                <w:sz w:val="24"/>
                <w:szCs w:val="24"/>
                <w:highlight w:val="none"/>
                <w:lang w:eastAsia="zh-CN"/>
              </w:rPr>
              <w:t>附</w:t>
            </w:r>
            <w:r>
              <w:rPr>
                <w:rFonts w:hint="eastAsia" w:ascii="宋体" w:hAnsi="宋体" w:eastAsia="宋体" w:cs="宋体"/>
                <w:bCs/>
                <w:color w:val="auto"/>
                <w:sz w:val="24"/>
                <w:szCs w:val="24"/>
                <w:highlight w:val="none"/>
              </w:rPr>
              <w:t>法定代表人</w:t>
            </w:r>
            <w:r>
              <w:rPr>
                <w:rFonts w:hint="eastAsia" w:ascii="宋体" w:hAnsi="宋体" w:eastAsia="宋体" w:cs="宋体"/>
                <w:snapToGrid w:val="0"/>
                <w:color w:val="auto"/>
                <w:spacing w:val="8"/>
                <w:kern w:val="0"/>
                <w:sz w:val="24"/>
                <w:szCs w:val="24"/>
                <w:highlight w:val="none"/>
              </w:rPr>
              <w:t>二代身份证正、反面</w:t>
            </w:r>
            <w:r>
              <w:rPr>
                <w:rFonts w:hint="eastAsia" w:ascii="宋体" w:hAnsi="宋体" w:eastAsia="宋体" w:cs="宋体"/>
                <w:snapToGrid w:val="0"/>
                <w:color w:val="auto"/>
                <w:spacing w:val="8"/>
                <w:kern w:val="0"/>
                <w:sz w:val="24"/>
                <w:szCs w:val="24"/>
                <w:highlight w:val="none"/>
                <w:lang w:eastAsia="zh-CN"/>
              </w:rPr>
              <w:t>原件扫描件</w:t>
            </w:r>
          </w:p>
          <w:p>
            <w:pPr>
              <w:adjustRightInd w:val="0"/>
              <w:snapToGrid w:val="0"/>
              <w:spacing w:line="480" w:lineRule="exact"/>
              <w:rPr>
                <w:rFonts w:hint="eastAsia" w:ascii="宋体" w:hAnsi="宋体" w:eastAsia="宋体" w:cs="宋体"/>
                <w:b/>
                <w:snapToGrid w:val="0"/>
                <w:color w:val="auto"/>
                <w:spacing w:val="8"/>
                <w:kern w:val="0"/>
                <w:sz w:val="24"/>
                <w:szCs w:val="24"/>
                <w:highlight w:val="none"/>
              </w:rPr>
            </w:pPr>
          </w:p>
          <w:p>
            <w:pPr>
              <w:adjustRightInd w:val="0"/>
              <w:snapToGrid w:val="0"/>
              <w:spacing w:line="480" w:lineRule="exact"/>
              <w:jc w:val="center"/>
              <w:rPr>
                <w:rFonts w:hint="eastAsia" w:ascii="宋体" w:hAnsi="宋体" w:eastAsia="宋体" w:cs="宋体"/>
                <w:snapToGrid w:val="0"/>
                <w:color w:val="auto"/>
                <w:spacing w:val="8"/>
                <w:kern w:val="0"/>
                <w:sz w:val="24"/>
                <w:szCs w:val="24"/>
                <w:highlight w:val="none"/>
              </w:rPr>
            </w:pPr>
          </w:p>
        </w:tc>
      </w:tr>
    </w:tbl>
    <w:p>
      <w:pPr>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供应商名称（公章）：</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720" w:firstLineChars="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法定代表人（签字或盖章）：</w:t>
      </w:r>
      <w:r>
        <w:rPr>
          <w:rFonts w:hint="eastAsia" w:ascii="宋体" w:hAnsi="宋体" w:cs="宋体"/>
          <w:bCs/>
          <w:color w:val="auto"/>
          <w:sz w:val="24"/>
          <w:szCs w:val="24"/>
          <w:highlight w:val="none"/>
          <w:u w:val="single"/>
          <w:lang w:val="en-US" w:eastAsia="zh-CN"/>
        </w:rPr>
        <w:t xml:space="preserve">             </w:t>
      </w:r>
    </w:p>
    <w:p>
      <w:pPr>
        <w:ind w:firstLine="720" w:firstLine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pPr>
        <w:ind w:firstLine="720" w:firstLineChars="300"/>
        <w:rPr>
          <w:rFonts w:hint="eastAsia" w:ascii="宋体" w:hAnsi="宋体" w:eastAsia="宋体" w:cs="宋体"/>
          <w:bCs/>
          <w:color w:val="auto"/>
          <w:sz w:val="24"/>
          <w:szCs w:val="24"/>
          <w:highlight w:val="none"/>
        </w:rPr>
        <w:sectPr>
          <w:footerReference r:id="rId6" w:type="default"/>
          <w:pgSz w:w="11906" w:h="16838"/>
          <w:pgMar w:top="1440" w:right="1134" w:bottom="1440" w:left="1134" w:header="851" w:footer="992" w:gutter="0"/>
          <w:pgNumType w:fmt="decimal" w:start="1"/>
          <w:cols w:space="720" w:num="1"/>
          <w:docGrid w:type="lines" w:linePitch="312" w:charSpace="0"/>
        </w:sectPr>
      </w:pPr>
      <w:r>
        <w:rPr>
          <w:rFonts w:hint="eastAsia" w:ascii="宋体" w:hAnsi="宋体" w:eastAsia="宋体" w:cs="宋体"/>
          <w:bCs/>
          <w:color w:val="auto"/>
          <w:sz w:val="24"/>
          <w:szCs w:val="24"/>
          <w:highlight w:val="none"/>
        </w:rPr>
        <w:t>日期：     年      月      日</w:t>
      </w:r>
    </w:p>
    <w:p>
      <w:pPr>
        <w:spacing w:line="360" w:lineRule="auto"/>
        <w:outlineLvl w:val="3"/>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附件二：法定代表人授权书（非法定代表人参加磋商）</w:t>
      </w:r>
    </w:p>
    <w:p>
      <w:pPr>
        <w:spacing w:line="360" w:lineRule="auto"/>
        <w:jc w:val="center"/>
        <w:rPr>
          <w:rFonts w:hint="eastAsia" w:ascii="宋体" w:hAnsi="宋体" w:eastAsia="宋体" w:cs="宋体"/>
          <w:b/>
          <w:bCs/>
          <w:color w:val="auto"/>
          <w:sz w:val="24"/>
          <w:highlight w:val="none"/>
        </w:rPr>
      </w:pPr>
      <w:bookmarkStart w:id="41" w:name="_Toc57575174"/>
      <w:r>
        <w:rPr>
          <w:rFonts w:hint="eastAsia" w:ascii="宋体" w:hAnsi="宋体" w:eastAsia="宋体" w:cs="宋体"/>
          <w:b/>
          <w:bCs/>
          <w:color w:val="auto"/>
          <w:sz w:val="24"/>
          <w:szCs w:val="24"/>
          <w:highlight w:val="none"/>
        </w:rPr>
        <w:t>法定代表人授权委托书</w:t>
      </w:r>
      <w:bookmarkEnd w:id="41"/>
      <w:r>
        <w:rPr>
          <w:rFonts w:hint="eastAsia" w:ascii="宋体" w:hAnsi="宋体" w:eastAsia="宋体" w:cs="宋体"/>
          <w:b/>
          <w:bCs/>
          <w:color w:val="auto"/>
          <w:sz w:val="24"/>
          <w:szCs w:val="24"/>
          <w:highlight w:val="none"/>
        </w:rPr>
        <w:t>（非法定代表人参加磋商）</w:t>
      </w:r>
    </w:p>
    <w:p>
      <w:pPr>
        <w:spacing w:before="40" w:after="40" w:line="360" w:lineRule="auto"/>
        <w:ind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（磋商代表姓名、职务）为本公司磋商代表，就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（项目名称）磋商及相关事务代表本公司处理与之有关的一切事务。</w:t>
      </w:r>
    </w:p>
    <w:p>
      <w:pPr>
        <w:pStyle w:val="2"/>
        <w:spacing w:line="360" w:lineRule="auto"/>
        <w:rPr>
          <w:rFonts w:hint="eastAsia" w:ascii="宋体" w:hAnsi="宋体" w:eastAsia="宋体" w:cs="宋体"/>
          <w:color w:val="auto"/>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委托期限： </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w:t>
      </w:r>
      <w:r>
        <w:rPr>
          <w:rFonts w:hint="eastAsia" w:ascii="宋体" w:hAnsi="宋体" w:eastAsia="宋体" w:cs="宋体"/>
          <w:bCs/>
          <w:color w:val="auto"/>
          <w:sz w:val="24"/>
          <w:szCs w:val="24"/>
          <w:highlight w:val="none"/>
        </w:rPr>
        <w:t>盖章</w:t>
      </w:r>
      <w:r>
        <w:rPr>
          <w:rFonts w:hint="eastAsia" w:ascii="宋体" w:hAnsi="宋体" w:eastAsia="宋体" w:cs="宋体"/>
          <w:color w:val="auto"/>
          <w:sz w:val="24"/>
          <w:szCs w:val="24"/>
          <w:highlight w:val="none"/>
        </w:rPr>
        <w:t>生效，特此声明。</w:t>
      </w:r>
    </w:p>
    <w:p>
      <w:pPr>
        <w:spacing w:before="40" w:after="40" w:line="360" w:lineRule="auto"/>
        <w:rPr>
          <w:rFonts w:hint="eastAsia" w:ascii="宋体" w:hAnsi="宋体" w:eastAsia="宋体" w:cs="宋体"/>
          <w:color w:val="auto"/>
          <w:sz w:val="24"/>
          <w:szCs w:val="24"/>
          <w:highlight w:val="none"/>
        </w:rPr>
      </w:pPr>
    </w:p>
    <w:tbl>
      <w:tblPr>
        <w:tblStyle w:val="27"/>
        <w:tblW w:w="7770" w:type="dxa"/>
        <w:tblInd w:w="1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7770" w:type="dxa"/>
            <w:noWrap w:val="0"/>
            <w:vAlign w:val="top"/>
          </w:tcPr>
          <w:p>
            <w:pPr>
              <w:adjustRightInd w:val="0"/>
              <w:snapToGrid w:val="0"/>
              <w:spacing w:line="480" w:lineRule="exact"/>
              <w:ind w:firstLine="2048" w:firstLineChars="800"/>
              <w:jc w:val="center"/>
              <w:rPr>
                <w:rFonts w:hint="eastAsia" w:ascii="宋体" w:hAnsi="宋体" w:eastAsia="宋体" w:cs="宋体"/>
                <w:snapToGrid w:val="0"/>
                <w:color w:val="auto"/>
                <w:spacing w:val="8"/>
                <w:kern w:val="0"/>
                <w:sz w:val="24"/>
                <w:szCs w:val="24"/>
                <w:highlight w:val="none"/>
              </w:rPr>
            </w:pPr>
          </w:p>
          <w:p>
            <w:pPr>
              <w:adjustRightInd w:val="0"/>
              <w:snapToGrid w:val="0"/>
              <w:spacing w:line="480" w:lineRule="exact"/>
              <w:jc w:val="center"/>
              <w:rPr>
                <w:rFonts w:hint="eastAsia" w:ascii="宋体" w:hAnsi="宋体" w:eastAsia="宋体" w:cs="宋体"/>
                <w:b/>
                <w:snapToGrid w:val="0"/>
                <w:color w:val="auto"/>
                <w:spacing w:val="8"/>
                <w:kern w:val="0"/>
                <w:sz w:val="24"/>
                <w:szCs w:val="24"/>
                <w:highlight w:val="none"/>
              </w:rPr>
            </w:pPr>
          </w:p>
          <w:p>
            <w:pPr>
              <w:adjustRightInd w:val="0"/>
              <w:snapToGrid w:val="0"/>
              <w:spacing w:line="480" w:lineRule="exact"/>
              <w:jc w:val="center"/>
              <w:rPr>
                <w:rFonts w:hint="eastAsia" w:ascii="宋体" w:hAnsi="宋体" w:eastAsia="宋体" w:cs="宋体"/>
                <w:b/>
                <w:snapToGrid w:val="0"/>
                <w:color w:val="auto"/>
                <w:spacing w:val="8"/>
                <w:kern w:val="0"/>
                <w:sz w:val="24"/>
                <w:szCs w:val="24"/>
                <w:highlight w:val="none"/>
              </w:rPr>
            </w:pPr>
          </w:p>
          <w:p>
            <w:pPr>
              <w:adjustRightInd w:val="0"/>
              <w:snapToGrid w:val="0"/>
              <w:spacing w:line="480" w:lineRule="exact"/>
              <w:ind w:firstLine="1280" w:firstLineChars="500"/>
              <w:rPr>
                <w:rFonts w:hint="eastAsia" w:ascii="宋体" w:hAnsi="宋体" w:eastAsia="宋体" w:cs="宋体"/>
                <w:b/>
                <w:snapToGrid w:val="0"/>
                <w:color w:val="auto"/>
                <w:spacing w:val="8"/>
                <w:kern w:val="0"/>
                <w:sz w:val="24"/>
                <w:szCs w:val="24"/>
                <w:highlight w:val="none"/>
                <w:lang w:eastAsia="zh-CN"/>
              </w:rPr>
            </w:pPr>
            <w:r>
              <w:rPr>
                <w:rFonts w:hint="eastAsia" w:ascii="宋体" w:hAnsi="宋体" w:eastAsia="宋体" w:cs="宋体"/>
                <w:snapToGrid w:val="0"/>
                <w:color w:val="auto"/>
                <w:spacing w:val="8"/>
                <w:kern w:val="0"/>
                <w:sz w:val="24"/>
                <w:szCs w:val="24"/>
                <w:highlight w:val="none"/>
              </w:rPr>
              <w:t>此处</w:t>
            </w:r>
            <w:r>
              <w:rPr>
                <w:rFonts w:hint="eastAsia" w:ascii="宋体" w:hAnsi="宋体" w:cs="宋体"/>
                <w:snapToGrid w:val="0"/>
                <w:color w:val="auto"/>
                <w:spacing w:val="8"/>
                <w:kern w:val="0"/>
                <w:sz w:val="24"/>
                <w:szCs w:val="24"/>
                <w:highlight w:val="none"/>
                <w:lang w:eastAsia="zh-CN"/>
              </w:rPr>
              <w:t>附</w:t>
            </w:r>
            <w:r>
              <w:rPr>
                <w:rFonts w:hint="eastAsia" w:ascii="宋体" w:hAnsi="宋体" w:eastAsia="宋体" w:cs="宋体"/>
                <w:snapToGrid w:val="0"/>
                <w:color w:val="auto"/>
                <w:spacing w:val="8"/>
                <w:kern w:val="0"/>
                <w:sz w:val="24"/>
                <w:szCs w:val="24"/>
                <w:highlight w:val="none"/>
              </w:rPr>
              <w:t>授权代表二代身份证正、反面</w:t>
            </w:r>
            <w:r>
              <w:rPr>
                <w:rFonts w:hint="eastAsia" w:ascii="宋体" w:hAnsi="宋体" w:eastAsia="宋体" w:cs="宋体"/>
                <w:snapToGrid w:val="0"/>
                <w:color w:val="auto"/>
                <w:spacing w:val="8"/>
                <w:kern w:val="0"/>
                <w:sz w:val="24"/>
                <w:szCs w:val="24"/>
                <w:highlight w:val="none"/>
                <w:lang w:eastAsia="zh-CN"/>
              </w:rPr>
              <w:t>原件扫描件</w:t>
            </w:r>
          </w:p>
          <w:p>
            <w:pPr>
              <w:adjustRightInd w:val="0"/>
              <w:snapToGrid w:val="0"/>
              <w:spacing w:line="480" w:lineRule="exact"/>
              <w:jc w:val="center"/>
              <w:rPr>
                <w:rFonts w:hint="eastAsia" w:ascii="宋体" w:hAnsi="宋体" w:eastAsia="宋体" w:cs="宋体"/>
                <w:b/>
                <w:snapToGrid w:val="0"/>
                <w:color w:val="auto"/>
                <w:spacing w:val="8"/>
                <w:kern w:val="0"/>
                <w:sz w:val="24"/>
                <w:szCs w:val="24"/>
                <w:highlight w:val="none"/>
              </w:rPr>
            </w:pPr>
          </w:p>
          <w:p>
            <w:pPr>
              <w:adjustRightInd w:val="0"/>
              <w:snapToGrid w:val="0"/>
              <w:spacing w:line="480" w:lineRule="exact"/>
              <w:jc w:val="center"/>
              <w:rPr>
                <w:rFonts w:hint="eastAsia" w:ascii="宋体" w:hAnsi="宋体" w:eastAsia="宋体" w:cs="宋体"/>
                <w:snapToGrid w:val="0"/>
                <w:color w:val="auto"/>
                <w:spacing w:val="8"/>
                <w:kern w:val="0"/>
                <w:sz w:val="24"/>
                <w:szCs w:val="24"/>
                <w:highlight w:val="none"/>
              </w:rPr>
            </w:pPr>
          </w:p>
        </w:tc>
      </w:tr>
    </w:tbl>
    <w:p>
      <w:pPr>
        <w:spacing w:before="40" w:after="40" w:line="360" w:lineRule="auto"/>
        <w:rPr>
          <w:rFonts w:hint="eastAsia" w:ascii="宋体" w:hAnsi="宋体" w:eastAsia="宋体" w:cs="宋体"/>
          <w:color w:val="auto"/>
          <w:sz w:val="24"/>
          <w:szCs w:val="24"/>
          <w:highlight w:val="none"/>
        </w:rPr>
      </w:pPr>
    </w:p>
    <w:p>
      <w:pPr>
        <w:pStyle w:val="2"/>
        <w:rPr>
          <w:rFonts w:hint="eastAsia" w:ascii="宋体" w:hAnsi="宋体" w:eastAsia="宋体" w:cs="宋体"/>
          <w:color w:val="auto"/>
          <w:highlight w:val="none"/>
        </w:rPr>
      </w:pPr>
    </w:p>
    <w:p>
      <w:pPr>
        <w:spacing w:line="360" w:lineRule="auto"/>
        <w:ind w:firstLine="720" w:firstLineChars="3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供应商名称（公章）：</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720" w:firstLineChars="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法定代表人（签字或盖章）：</w:t>
      </w:r>
      <w:r>
        <w:rPr>
          <w:rFonts w:hint="eastAsia" w:ascii="宋体" w:hAnsi="宋体" w:cs="宋体"/>
          <w:bCs/>
          <w:color w:val="auto"/>
          <w:sz w:val="24"/>
          <w:szCs w:val="24"/>
          <w:highlight w:val="none"/>
          <w:u w:val="single"/>
          <w:lang w:val="en-US" w:eastAsia="zh-CN"/>
        </w:rPr>
        <w:t xml:space="preserve">             </w:t>
      </w:r>
    </w:p>
    <w:p>
      <w:pPr>
        <w:spacing w:line="360" w:lineRule="auto"/>
        <w:ind w:firstLine="720" w:firstLineChars="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授权代表 （签字或盖章）：</w:t>
      </w:r>
      <w:r>
        <w:rPr>
          <w:rFonts w:hint="eastAsia" w:ascii="宋体" w:hAnsi="宋体" w:cs="宋体"/>
          <w:bCs/>
          <w:color w:val="auto"/>
          <w:sz w:val="24"/>
          <w:szCs w:val="24"/>
          <w:highlight w:val="none"/>
          <w:u w:val="single"/>
          <w:lang w:val="en-US" w:eastAsia="zh-CN"/>
        </w:rPr>
        <w:t xml:space="preserve">              </w:t>
      </w:r>
    </w:p>
    <w:p>
      <w:pPr>
        <w:spacing w:line="360" w:lineRule="auto"/>
        <w:ind w:firstLine="720" w:firstLineChars="300"/>
        <w:jc w:val="right"/>
        <w:rPr>
          <w:rFonts w:hint="eastAsia" w:ascii="宋体" w:hAnsi="宋体" w:eastAsia="宋体" w:cs="宋体"/>
          <w:bCs/>
          <w:color w:val="auto"/>
          <w:sz w:val="24"/>
          <w:szCs w:val="24"/>
          <w:highlight w:val="none"/>
        </w:rPr>
      </w:pPr>
    </w:p>
    <w:p>
      <w:pPr>
        <w:spacing w:line="360" w:lineRule="auto"/>
        <w:ind w:firstLine="720" w:firstLineChars="300"/>
        <w:jc w:val="center"/>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rPr>
        <w:t xml:space="preserve">                                日期：     年      月      日</w:t>
      </w:r>
    </w:p>
    <w:p>
      <w:pPr>
        <w:pStyle w:val="23"/>
        <w:rPr>
          <w:rFonts w:hint="eastAsia" w:ascii="宋体" w:hAnsi="宋体" w:eastAsia="宋体" w:cs="宋体"/>
          <w:color w:val="auto"/>
          <w:highlight w:val="none"/>
        </w:rPr>
      </w:pPr>
    </w:p>
    <w:p>
      <w:pPr>
        <w:pStyle w:val="6"/>
        <w:keepNext w:val="0"/>
        <w:keepLines w:val="0"/>
        <w:numPr>
          <w:ilvl w:val="0"/>
          <w:numId w:val="0"/>
        </w:num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42" w:name="_Toc57575176"/>
      <w:bookmarkStart w:id="43" w:name="_Toc57575177"/>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磋商响应声明</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（项目名称）的竞争性磋商的文件（项目编号：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）的全部内容，知悉参加竞争性磋商的风险，我方承诺接受磋商文件的全部条款且无任何异议。</w:t>
      </w:r>
    </w:p>
    <w:p>
      <w:pPr>
        <w:numPr>
          <w:ilvl w:val="0"/>
          <w:numId w:val="5"/>
        </w:num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我方同意在磋商响应有效期内遵守本响应文件中的承诺，且在此期间期满之前均具有法律约束力。</w:t>
      </w:r>
    </w:p>
    <w:p>
      <w:pPr>
        <w:numPr>
          <w:ilvl w:val="0"/>
          <w:numId w:val="5"/>
        </w:num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我方提交电子响应文件____份，并保证响应文件提供的数据和材料是真实、准确的。否则，愿承担《政府采购法》第七十七条规定的法律责任。</w:t>
      </w:r>
    </w:p>
    <w:p>
      <w:pPr>
        <w:numPr>
          <w:ilvl w:val="0"/>
          <w:numId w:val="5"/>
        </w:num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我方愿意向贵方提供任何与本项目采购有关的数据、情况和技术资料。若贵方需要，我方愿意提供我方作出的一切承诺的证明材料。</w:t>
      </w:r>
    </w:p>
    <w:p>
      <w:pPr>
        <w:numPr>
          <w:ilvl w:val="0"/>
          <w:numId w:val="5"/>
        </w:num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我方愿意按磋商文件规定和磋商小组要求重新提交响应文件和最后报价，响应文件自磋商之日起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日内有效。</w:t>
      </w:r>
    </w:p>
    <w:p>
      <w:pPr>
        <w:numPr>
          <w:ilvl w:val="0"/>
          <w:numId w:val="5"/>
        </w:num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我方承诺遵守《政府采购法》的有关规定，保证在获得成交资格后，按照磋商文件确定的事项签订政府采购合同，履行双方所签订的合同，并承担合同规定的责任和义务。</w:t>
      </w:r>
    </w:p>
    <w:p>
      <w:pPr>
        <w:spacing w:line="360" w:lineRule="auto"/>
        <w:ind w:firstLine="720" w:firstLineChars="300"/>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供应商名称（公章）：</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720" w:firstLineChars="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法定代表人（签字或盖章）：</w:t>
      </w:r>
      <w:r>
        <w:rPr>
          <w:rFonts w:hint="eastAsia" w:ascii="宋体" w:hAnsi="宋体" w:cs="宋体"/>
          <w:bCs/>
          <w:color w:val="auto"/>
          <w:sz w:val="24"/>
          <w:szCs w:val="24"/>
          <w:highlight w:val="none"/>
          <w:u w:val="single"/>
          <w:lang w:val="en-US" w:eastAsia="zh-CN"/>
        </w:rPr>
        <w:t xml:space="preserve">             </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
        <w:keepNext w:val="0"/>
        <w:keepLines w:val="0"/>
        <w:numPr>
          <w:ilvl w:val="0"/>
          <w:numId w:val="4"/>
        </w:numPr>
        <w:spacing w:line="360" w:lineRule="auto"/>
        <w:ind w:left="210" w:leftChars="0" w:firstLine="0" w:firstLineChars="0"/>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报价一览表</w:t>
      </w:r>
    </w:p>
    <w:p>
      <w:pPr>
        <w:pStyle w:val="6"/>
        <w:keepNext w:val="0"/>
        <w:keepLines w:val="0"/>
        <w:numPr>
          <w:ilvl w:val="0"/>
          <w:numId w:val="0"/>
        </w:numPr>
        <w:spacing w:line="360" w:lineRule="auto"/>
        <w:ind w:left="210" w:leftChars="0"/>
        <w:outlineLvl w:val="2"/>
        <w:rPr>
          <w:rFonts w:hint="eastAsia" w:ascii="宋体" w:hAnsi="宋体" w:eastAsia="宋体" w:cs="宋体"/>
          <w:b w:val="0"/>
          <w:bCs/>
          <w:color w:val="auto"/>
          <w:kern w:val="0"/>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报价一览表</w:t>
      </w:r>
    </w:p>
    <w:tbl>
      <w:tblPr>
        <w:tblStyle w:val="27"/>
        <w:tblpPr w:leftFromText="180" w:rightFromText="180" w:vertAnchor="text" w:horzAnchor="page" w:tblpX="1592" w:tblpY="77"/>
        <w:tblOverlap w:val="never"/>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747"/>
        <w:gridCol w:w="2768"/>
        <w:gridCol w:w="1268"/>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19"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747"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2768" w:type="dxa"/>
            <w:noWrap w:val="0"/>
            <w:vAlign w:val="center"/>
          </w:tcPr>
          <w:p>
            <w:pPr>
              <w:snapToGrid w:val="0"/>
              <w:jc w:val="center"/>
              <w:rPr>
                <w:rFonts w:hint="eastAsia" w:ascii="宋体" w:hAnsi="宋体" w:eastAsia="宋体" w:cs="宋体"/>
                <w:color w:val="auto"/>
                <w:kern w:val="0"/>
                <w:szCs w:val="21"/>
                <w:highlight w:val="none"/>
              </w:rPr>
            </w:pPr>
          </w:p>
        </w:tc>
        <w:tc>
          <w:tcPr>
            <w:tcW w:w="1268"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w:t>
            </w:r>
          </w:p>
        </w:tc>
        <w:tc>
          <w:tcPr>
            <w:tcW w:w="2630" w:type="dxa"/>
            <w:noWrap w:val="0"/>
            <w:vAlign w:val="center"/>
          </w:tcPr>
          <w:p>
            <w:pPr>
              <w:snapToGrid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19"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47"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w:t>
            </w:r>
            <w:r>
              <w:rPr>
                <w:rFonts w:hint="eastAsia" w:ascii="宋体" w:hAnsi="宋体" w:cs="宋体"/>
                <w:color w:val="auto"/>
                <w:kern w:val="0"/>
                <w:szCs w:val="21"/>
                <w:highlight w:val="none"/>
                <w:lang w:val="en-US" w:eastAsia="zh-CN"/>
              </w:rPr>
              <w:t>总</w:t>
            </w:r>
            <w:r>
              <w:rPr>
                <w:rFonts w:hint="eastAsia" w:ascii="宋体" w:hAnsi="宋体" w:eastAsia="宋体" w:cs="宋体"/>
                <w:color w:val="auto"/>
                <w:kern w:val="0"/>
                <w:szCs w:val="21"/>
                <w:highlight w:val="none"/>
              </w:rPr>
              <w:t>报价</w:t>
            </w:r>
          </w:p>
        </w:tc>
        <w:tc>
          <w:tcPr>
            <w:tcW w:w="6666" w:type="dxa"/>
            <w:gridSpan w:val="3"/>
            <w:noWrap w:val="0"/>
            <w:vAlign w:val="center"/>
          </w:tcPr>
          <w:p>
            <w:pPr>
              <w:snapToGrid w:val="0"/>
              <w:spacing w:line="360" w:lineRule="auto"/>
              <w:jc w:val="left"/>
              <w:rPr>
                <w:rFonts w:hint="eastAsia"/>
                <w:highlight w:val="none"/>
              </w:rPr>
            </w:pPr>
          </w:p>
          <w:p>
            <w:pPr>
              <w:snapToGrid w:val="0"/>
              <w:spacing w:line="360" w:lineRule="auto"/>
              <w:jc w:val="left"/>
              <w:rPr>
                <w:rFonts w:hint="eastAsia"/>
                <w:highlight w:val="none"/>
              </w:rPr>
            </w:pPr>
            <w:r>
              <w:rPr>
                <w:rFonts w:hint="eastAsia"/>
                <w:highlight w:val="none"/>
              </w:rPr>
              <w:t>大写：人民币</w:t>
            </w:r>
            <w:r>
              <w:rPr>
                <w:rFonts w:hint="eastAsia"/>
                <w:highlight w:val="none"/>
                <w:u w:val="single"/>
              </w:rPr>
              <w:t xml:space="preserve">              </w:t>
            </w:r>
            <w:r>
              <w:rPr>
                <w:rFonts w:hint="eastAsia"/>
                <w:highlight w:val="none"/>
              </w:rPr>
              <w:t>元</w:t>
            </w:r>
          </w:p>
          <w:p>
            <w:pPr>
              <w:snapToGrid w:val="0"/>
              <w:spacing w:line="360" w:lineRule="auto"/>
              <w:jc w:val="left"/>
              <w:rPr>
                <w:rFonts w:hint="eastAsia"/>
                <w:highlight w:val="none"/>
              </w:rPr>
            </w:pPr>
            <w:r>
              <w:rPr>
                <w:rFonts w:hint="eastAsia"/>
                <w:highlight w:val="none"/>
              </w:rPr>
              <w:t>小写：</w:t>
            </w:r>
            <w:r>
              <w:rPr>
                <w:rFonts w:hint="eastAsia"/>
                <w:highlight w:val="none"/>
                <w:u w:val="single"/>
              </w:rPr>
              <w:t xml:space="preserve">                    </w:t>
            </w:r>
            <w:r>
              <w:rPr>
                <w:rFonts w:hint="eastAsia"/>
                <w:highlight w:val="none"/>
              </w:rPr>
              <w:t>元</w:t>
            </w:r>
          </w:p>
          <w:p>
            <w:pPr>
              <w:ind w:firstLine="630" w:firstLineChars="300"/>
              <w:rPr>
                <w:rFonts w:hint="default"/>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19" w:type="dxa"/>
            <w:noWrap w:val="0"/>
            <w:vAlign w:val="center"/>
          </w:tcPr>
          <w:p>
            <w:pPr>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1747" w:type="dxa"/>
            <w:noWrap w:val="0"/>
            <w:vAlign w:val="center"/>
          </w:tcPr>
          <w:p>
            <w:pPr>
              <w:snapToGrid w:val="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服务期限</w:t>
            </w:r>
          </w:p>
        </w:tc>
        <w:tc>
          <w:tcPr>
            <w:tcW w:w="6666" w:type="dxa"/>
            <w:gridSpan w:val="3"/>
            <w:noWrap w:val="0"/>
            <w:vAlign w:val="center"/>
          </w:tcPr>
          <w:p>
            <w:pPr>
              <w:snapToGrid w:val="0"/>
              <w:jc w:val="lef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19" w:type="dxa"/>
            <w:noWrap w:val="0"/>
            <w:vAlign w:val="center"/>
          </w:tcPr>
          <w:p>
            <w:pPr>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747" w:type="dxa"/>
            <w:noWrap w:val="0"/>
            <w:vAlign w:val="center"/>
          </w:tcPr>
          <w:p>
            <w:pPr>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服务标准</w:t>
            </w:r>
          </w:p>
        </w:tc>
        <w:tc>
          <w:tcPr>
            <w:tcW w:w="6666" w:type="dxa"/>
            <w:gridSpan w:val="3"/>
            <w:noWrap w:val="0"/>
            <w:vAlign w:val="center"/>
          </w:tcPr>
          <w:p>
            <w:pPr>
              <w:snapToGrid w:val="0"/>
              <w:jc w:val="left"/>
              <w:rPr>
                <w:rFonts w:hint="eastAsia" w:ascii="宋体" w:hAnsi="宋体" w:eastAsia="宋体" w:cs="宋体"/>
                <w:color w:val="auto"/>
                <w:kern w:val="0"/>
                <w:szCs w:val="21"/>
                <w:highlight w:val="none"/>
              </w:rPr>
            </w:pPr>
          </w:p>
        </w:tc>
      </w:tr>
    </w:tbl>
    <w:p>
      <w:pPr>
        <w:snapToGrid w:val="0"/>
        <w:spacing w:line="360" w:lineRule="auto"/>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注：1、供应商应根据本磋商文件中采购人提供的采购范围、技术要求自行报价；</w:t>
      </w:r>
    </w:p>
    <w:p>
      <w:pPr>
        <w:snapToGrid w:val="0"/>
        <w:spacing w:line="360" w:lineRule="auto"/>
        <w:ind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2、响应报价包含一切可能发生的费用，包括价格波动风险因素</w:t>
      </w:r>
    </w:p>
    <w:p>
      <w:pPr>
        <w:snapToGrid w:val="0"/>
        <w:spacing w:line="360" w:lineRule="auto"/>
        <w:ind w:firstLine="420" w:firstLineChars="200"/>
        <w:rPr>
          <w:rFonts w:hint="eastAsia" w:ascii="宋体" w:hAnsi="宋体" w:eastAsia="宋体" w:cs="宋体"/>
          <w:color w:val="auto"/>
          <w:kern w:val="0"/>
          <w:szCs w:val="21"/>
          <w:highlight w:val="none"/>
        </w:rPr>
      </w:pP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供应商名称（公章）：________________</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法定代表人（签字或盖章）：________________</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日期：______年____月____日</w:t>
      </w:r>
    </w:p>
    <w:p>
      <w:pPr>
        <w:pStyle w:val="2"/>
        <w:keepNext w:val="0"/>
        <w:keepLines w:val="0"/>
        <w:pageBreakBefore w:val="0"/>
        <w:widowControl w:val="0"/>
        <w:kinsoku/>
        <w:wordWrap/>
        <w:overflowPunct/>
        <w:topLinePunct w:val="0"/>
        <w:autoSpaceDE w:val="0"/>
        <w:autoSpaceDN w:val="0"/>
        <w:bidi w:val="0"/>
        <w:adjustRightInd/>
        <w:snapToGrid/>
        <w:spacing w:before="158" w:line="362" w:lineRule="auto"/>
        <w:ind w:left="0" w:leftChars="0" w:right="0" w:rightChars="0" w:firstLine="0" w:firstLineChars="0"/>
        <w:textAlignment w:val="auto"/>
        <w:rPr>
          <w:highlight w:val="none"/>
        </w:rPr>
      </w:pPr>
      <w:r>
        <w:rPr>
          <w:highlight w:val="none"/>
        </w:rPr>
        <w:t xml:space="preserve"> </w:t>
      </w:r>
    </w:p>
    <w:p>
      <w:pPr>
        <w:pStyle w:val="2"/>
        <w:spacing w:before="131" w:after="22"/>
        <w:ind w:left="733"/>
        <w:rPr>
          <w:highlight w:val="none"/>
        </w:rPr>
      </w:pPr>
      <w:r>
        <w:rPr>
          <w:highlight w:val="none"/>
        </w:rPr>
        <w:t xml:space="preserve"> </w:t>
      </w:r>
    </w:p>
    <w:p>
      <w:pPr>
        <w:spacing w:after="0"/>
        <w:jc w:val="center"/>
        <w:rPr>
          <w:sz w:val="22"/>
          <w:highlight w:val="none"/>
        </w:rPr>
        <w:sectPr>
          <w:pgSz w:w="11910" w:h="16840"/>
          <w:pgMar w:top="1140" w:right="380" w:bottom="1160" w:left="760" w:header="947" w:footer="973" w:gutter="0"/>
          <w:cols w:space="720" w:num="1"/>
        </w:sectPr>
      </w:pPr>
    </w:p>
    <w:p>
      <w:pPr>
        <w:pStyle w:val="2"/>
        <w:spacing w:before="67"/>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次</w:t>
      </w:r>
      <w:r>
        <w:rPr>
          <w:rFonts w:hint="eastAsia" w:ascii="宋体" w:hAnsi="宋体" w:eastAsia="宋体" w:cs="宋体"/>
          <w:color w:val="auto"/>
          <w:sz w:val="24"/>
          <w:szCs w:val="24"/>
          <w:highlight w:val="none"/>
        </w:rPr>
        <w:t>）报价表</w:t>
      </w:r>
    </w:p>
    <w:p>
      <w:pPr>
        <w:rPr>
          <w:rFonts w:hint="eastAsia"/>
          <w:color w:val="auto"/>
          <w:highlight w:val="none"/>
        </w:rPr>
      </w:pPr>
    </w:p>
    <w:p>
      <w:pPr>
        <w:pStyle w:val="17"/>
        <w:snapToGrid w:val="0"/>
        <w:spacing w:line="360" w:lineRule="auto"/>
        <w:ind w:firstLine="420" w:firstLineChars="200"/>
        <w:rPr>
          <w:rFonts w:hint="eastAsia" w:ascii="宋体" w:hAnsi="宋体" w:eastAsia="宋体" w:cs="宋体"/>
          <w:color w:val="auto"/>
          <w:highlight w:val="none"/>
        </w:rPr>
      </w:pPr>
    </w:p>
    <w:tbl>
      <w:tblPr>
        <w:tblStyle w:val="27"/>
        <w:tblpPr w:leftFromText="180" w:rightFromText="180" w:vertAnchor="text" w:horzAnchor="page" w:tblpX="1592" w:tblpY="77"/>
        <w:tblOverlap w:val="never"/>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747"/>
        <w:gridCol w:w="2768"/>
        <w:gridCol w:w="1268"/>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19"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747"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2768" w:type="dxa"/>
            <w:noWrap w:val="0"/>
            <w:vAlign w:val="center"/>
          </w:tcPr>
          <w:p>
            <w:pPr>
              <w:snapToGrid w:val="0"/>
              <w:jc w:val="center"/>
              <w:rPr>
                <w:rFonts w:hint="eastAsia" w:ascii="宋体" w:hAnsi="宋体" w:eastAsia="宋体" w:cs="宋体"/>
                <w:color w:val="auto"/>
                <w:kern w:val="0"/>
                <w:szCs w:val="21"/>
                <w:highlight w:val="none"/>
              </w:rPr>
            </w:pPr>
          </w:p>
        </w:tc>
        <w:tc>
          <w:tcPr>
            <w:tcW w:w="1268"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w:t>
            </w:r>
          </w:p>
        </w:tc>
        <w:tc>
          <w:tcPr>
            <w:tcW w:w="2630" w:type="dxa"/>
            <w:noWrap w:val="0"/>
            <w:vAlign w:val="center"/>
          </w:tcPr>
          <w:p>
            <w:pPr>
              <w:snapToGrid w:val="0"/>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19"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47" w:type="dxa"/>
            <w:noWrap w:val="0"/>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w:t>
            </w:r>
            <w:r>
              <w:rPr>
                <w:rFonts w:hint="eastAsia" w:ascii="宋体" w:hAnsi="宋体" w:cs="宋体"/>
                <w:color w:val="auto"/>
                <w:kern w:val="0"/>
                <w:szCs w:val="21"/>
                <w:highlight w:val="none"/>
                <w:lang w:val="en-US" w:eastAsia="zh-CN"/>
              </w:rPr>
              <w:t>总</w:t>
            </w:r>
            <w:r>
              <w:rPr>
                <w:rFonts w:hint="eastAsia" w:ascii="宋体" w:hAnsi="宋体" w:eastAsia="宋体" w:cs="宋体"/>
                <w:color w:val="auto"/>
                <w:kern w:val="0"/>
                <w:szCs w:val="21"/>
                <w:highlight w:val="none"/>
              </w:rPr>
              <w:t>报价</w:t>
            </w:r>
          </w:p>
        </w:tc>
        <w:tc>
          <w:tcPr>
            <w:tcW w:w="6666" w:type="dxa"/>
            <w:gridSpan w:val="3"/>
            <w:noWrap w:val="0"/>
            <w:vAlign w:val="center"/>
          </w:tcPr>
          <w:p>
            <w:pPr>
              <w:snapToGrid w:val="0"/>
              <w:spacing w:line="360" w:lineRule="auto"/>
              <w:jc w:val="left"/>
              <w:rPr>
                <w:rFonts w:hint="eastAsia"/>
                <w:highlight w:val="none"/>
              </w:rPr>
            </w:pPr>
            <w:r>
              <w:rPr>
                <w:rFonts w:hint="eastAsia"/>
                <w:highlight w:val="none"/>
              </w:rPr>
              <w:t>大写：人民币</w:t>
            </w:r>
            <w:r>
              <w:rPr>
                <w:rFonts w:hint="eastAsia"/>
                <w:highlight w:val="none"/>
                <w:u w:val="single"/>
              </w:rPr>
              <w:t xml:space="preserve">              </w:t>
            </w:r>
            <w:r>
              <w:rPr>
                <w:rFonts w:hint="eastAsia"/>
                <w:highlight w:val="none"/>
              </w:rPr>
              <w:t>元</w:t>
            </w:r>
          </w:p>
          <w:p>
            <w:pPr>
              <w:snapToGrid w:val="0"/>
              <w:spacing w:line="360" w:lineRule="auto"/>
              <w:jc w:val="left"/>
              <w:rPr>
                <w:rFonts w:hint="default"/>
                <w:highlight w:val="none"/>
                <w:u w:val="single"/>
                <w:lang w:val="en-US" w:eastAsia="zh-CN"/>
              </w:rPr>
            </w:pPr>
            <w:r>
              <w:rPr>
                <w:rFonts w:hint="eastAsia"/>
                <w:highlight w:val="none"/>
              </w:rPr>
              <w:t>小写：</w:t>
            </w:r>
            <w:r>
              <w:rPr>
                <w:rFonts w:hint="eastAsia"/>
                <w:highlight w:val="none"/>
                <w:u w:val="single"/>
              </w:rPr>
              <w:t xml:space="preserve">                    </w:t>
            </w:r>
            <w:r>
              <w:rPr>
                <w:rFonts w:hint="eastAsia"/>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19" w:type="dxa"/>
            <w:noWrap w:val="0"/>
            <w:vAlign w:val="center"/>
          </w:tcPr>
          <w:p>
            <w:pPr>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1747" w:type="dxa"/>
            <w:noWrap w:val="0"/>
            <w:vAlign w:val="center"/>
          </w:tcPr>
          <w:p>
            <w:pPr>
              <w:snapToGrid w:val="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服务期限</w:t>
            </w:r>
          </w:p>
        </w:tc>
        <w:tc>
          <w:tcPr>
            <w:tcW w:w="6666" w:type="dxa"/>
            <w:gridSpan w:val="3"/>
            <w:noWrap w:val="0"/>
            <w:vAlign w:val="center"/>
          </w:tcPr>
          <w:p>
            <w:pPr>
              <w:snapToGrid w:val="0"/>
              <w:jc w:val="lef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19" w:type="dxa"/>
            <w:noWrap w:val="0"/>
            <w:vAlign w:val="center"/>
          </w:tcPr>
          <w:p>
            <w:pPr>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747" w:type="dxa"/>
            <w:noWrap w:val="0"/>
            <w:vAlign w:val="center"/>
          </w:tcPr>
          <w:p>
            <w:pPr>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服务标准</w:t>
            </w:r>
          </w:p>
        </w:tc>
        <w:tc>
          <w:tcPr>
            <w:tcW w:w="6666" w:type="dxa"/>
            <w:gridSpan w:val="3"/>
            <w:noWrap w:val="0"/>
            <w:vAlign w:val="center"/>
          </w:tcPr>
          <w:p>
            <w:pPr>
              <w:snapToGrid w:val="0"/>
              <w:jc w:val="left"/>
              <w:rPr>
                <w:rFonts w:hint="eastAsia" w:ascii="宋体" w:hAnsi="宋体" w:eastAsia="宋体" w:cs="宋体"/>
                <w:color w:val="auto"/>
                <w:kern w:val="0"/>
                <w:szCs w:val="21"/>
                <w:highlight w:val="none"/>
              </w:rPr>
            </w:pPr>
          </w:p>
        </w:tc>
      </w:tr>
    </w:tbl>
    <w:p>
      <w:pPr>
        <w:pStyle w:val="17"/>
        <w:snapToGrid w:val="0"/>
        <w:spacing w:line="360" w:lineRule="auto"/>
        <w:ind w:firstLine="420" w:firstLineChars="200"/>
        <w:rPr>
          <w:rFonts w:hint="eastAsia" w:ascii="宋体" w:hAnsi="宋体" w:eastAsia="宋体" w:cs="宋体"/>
          <w:color w:val="auto"/>
          <w:szCs w:val="21"/>
          <w:highlight w:val="none"/>
        </w:rPr>
      </w:pPr>
    </w:p>
    <w:p>
      <w:pPr>
        <w:pStyle w:val="17"/>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注：1、供应商应根据本磋商文件中采购人提供的采购范围、技术要求自行报价；</w:t>
      </w:r>
    </w:p>
    <w:p>
      <w:pPr>
        <w:pStyle w:val="17"/>
        <w:snapToGrid w:val="0"/>
        <w:spacing w:line="360" w:lineRule="auto"/>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2、响应报价包含一切可能发生的费用，包括价格波动风险因素</w:t>
      </w:r>
      <w:r>
        <w:rPr>
          <w:rFonts w:hint="eastAsia" w:hAnsi="宋体" w:cs="宋体"/>
          <w:bCs/>
          <w:color w:val="auto"/>
          <w:szCs w:val="21"/>
          <w:highlight w:val="none"/>
          <w:lang w:eastAsia="zh-CN"/>
        </w:rPr>
        <w:t>。</w:t>
      </w:r>
    </w:p>
    <w:p>
      <w:pPr>
        <w:pStyle w:val="17"/>
        <w:snapToGrid w:val="0"/>
        <w:spacing w:line="360" w:lineRule="auto"/>
        <w:ind w:firstLine="420" w:firstLineChars="200"/>
        <w:rPr>
          <w:rFonts w:hint="eastAsia" w:ascii="宋体" w:hAnsi="宋体" w:eastAsia="宋体" w:cs="宋体"/>
          <w:bCs/>
          <w:color w:val="auto"/>
          <w:szCs w:val="21"/>
          <w:highlight w:val="none"/>
        </w:rPr>
      </w:pP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名称(公章)：________________</w:t>
      </w: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法定代表人（签字或盖章）：____________</w:t>
      </w: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日期：______年______月______日</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r>
        <w:rPr>
          <w:rFonts w:hint="eastAsia" w:ascii="宋体" w:hAnsi="宋体" w:eastAsia="宋体" w:cs="宋体"/>
          <w:color w:val="auto"/>
          <w:sz w:val="21"/>
          <w:szCs w:val="21"/>
          <w:highlight w:val="none"/>
        </w:rPr>
        <w:t>说明：此表无须放在响应文件中，磋商时在开标大厅“ 互动交流”模块，按主持人发出的指令完成对应操作</w:t>
      </w:r>
      <w:r>
        <w:rPr>
          <w:rFonts w:hint="eastAsia" w:hAnsi="宋体" w:cs="宋体"/>
          <w:color w:val="auto"/>
          <w:sz w:val="21"/>
          <w:szCs w:val="21"/>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2"/>
        <w:rPr>
          <w:rFonts w:hint="eastAsia" w:ascii="宋体" w:hAnsi="宋体" w:cs="宋体"/>
          <w:b/>
          <w:color w:val="auto"/>
          <w:sz w:val="24"/>
          <w:szCs w:val="24"/>
          <w:highlight w:val="none"/>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096" w:firstLineChars="1700"/>
        <w:textAlignment w:val="auto"/>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四</w:t>
      </w:r>
      <w:r>
        <w:rPr>
          <w:rFonts w:hint="eastAsia" w:ascii="宋体" w:hAnsi="宋体" w:eastAsia="宋体" w:cs="宋体"/>
          <w:b/>
          <w:color w:val="auto"/>
          <w:sz w:val="24"/>
          <w:szCs w:val="24"/>
          <w:highlight w:val="none"/>
        </w:rPr>
        <w:t>、偏离表</w:t>
      </w:r>
    </w:p>
    <w:p>
      <w:pPr>
        <w:pStyle w:val="17"/>
        <w:snapToGrid w:val="0"/>
        <w:spacing w:line="360" w:lineRule="auto"/>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技术条款偏离表</w:t>
      </w:r>
    </w:p>
    <w:tbl>
      <w:tblPr>
        <w:tblStyle w:val="27"/>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575"/>
        <w:gridCol w:w="2185"/>
        <w:gridCol w:w="1993"/>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26"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75"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185"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条款</w:t>
            </w:r>
          </w:p>
        </w:tc>
        <w:tc>
          <w:tcPr>
            <w:tcW w:w="1993"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响应技术条款</w:t>
            </w:r>
          </w:p>
        </w:tc>
        <w:tc>
          <w:tcPr>
            <w:tcW w:w="1718"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6"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57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99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718"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6"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57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99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718"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6"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57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99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718"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6"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57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99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718"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6"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57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99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718"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26"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57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5"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99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718"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bl>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说明：在偏离项必须注明正偏离、负偏离或无偏离。</w:t>
      </w:r>
    </w:p>
    <w:p>
      <w:pPr>
        <w:pStyle w:val="17"/>
        <w:snapToGrid w:val="0"/>
        <w:spacing w:line="360" w:lineRule="auto"/>
        <w:ind w:firstLine="420" w:firstLineChars="200"/>
        <w:rPr>
          <w:rFonts w:hint="eastAsia" w:ascii="宋体" w:hAnsi="宋体" w:eastAsia="宋体" w:cs="宋体"/>
          <w:color w:val="auto"/>
          <w:szCs w:val="21"/>
          <w:highlight w:val="none"/>
        </w:rPr>
      </w:pP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供应商名称(公章)：________________</w:t>
      </w: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法定代表人或其授权代表(签字或盖章)：________________</w:t>
      </w: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日期：______年____月____日</w:t>
      </w:r>
    </w:p>
    <w:p>
      <w:pPr>
        <w:rPr>
          <w:rFonts w:hint="eastAsia"/>
          <w:color w:val="auto"/>
          <w:highlight w:val="none"/>
        </w:rPr>
      </w:pPr>
    </w:p>
    <w:p>
      <w:pPr>
        <w:pStyle w:val="17"/>
        <w:snapToGrid w:val="0"/>
        <w:spacing w:line="360" w:lineRule="auto"/>
        <w:ind w:left="0" w:leftChars="0" w:firstLine="0" w:firstLineChars="0"/>
        <w:jc w:val="center"/>
        <w:rPr>
          <w:rFonts w:hint="eastAsia" w:ascii="宋体" w:hAnsi="宋体" w:eastAsia="宋体" w:cs="宋体"/>
          <w:color w:val="auto"/>
          <w:szCs w:val="21"/>
          <w:highlight w:val="none"/>
        </w:rPr>
      </w:pPr>
      <w:r>
        <w:rPr>
          <w:rFonts w:hint="eastAsia" w:hAnsi="宋体" w:cs="宋体"/>
          <w:color w:val="auto"/>
          <w:szCs w:val="21"/>
          <w:highlight w:val="none"/>
          <w:lang w:eastAsia="zh-CN"/>
        </w:rPr>
        <w:t>商务</w:t>
      </w:r>
      <w:r>
        <w:rPr>
          <w:rFonts w:hint="eastAsia" w:ascii="宋体" w:hAnsi="宋体" w:eastAsia="宋体" w:cs="宋体"/>
          <w:color w:val="auto"/>
          <w:szCs w:val="21"/>
          <w:highlight w:val="none"/>
        </w:rPr>
        <w:t>条款偏离表</w:t>
      </w: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849"/>
        <w:gridCol w:w="2050"/>
        <w:gridCol w:w="218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4"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9"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050"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条款</w:t>
            </w:r>
          </w:p>
        </w:tc>
        <w:tc>
          <w:tcPr>
            <w:tcW w:w="2183"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条款</w:t>
            </w:r>
          </w:p>
        </w:tc>
        <w:tc>
          <w:tcPr>
            <w:tcW w:w="1674" w:type="dxa"/>
            <w:noWrap w:val="0"/>
            <w:vAlign w:val="center"/>
          </w:tcPr>
          <w:p>
            <w:pPr>
              <w:pStyle w:val="17"/>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6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849"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050"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67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6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849"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050"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67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6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849"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050"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67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6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849"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050"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67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6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849"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050"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67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849"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050"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2183"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c>
          <w:tcPr>
            <w:tcW w:w="1674" w:type="dxa"/>
            <w:noWrap w:val="0"/>
            <w:vAlign w:val="center"/>
          </w:tcPr>
          <w:p>
            <w:pPr>
              <w:pStyle w:val="17"/>
              <w:snapToGrid w:val="0"/>
              <w:spacing w:line="360" w:lineRule="auto"/>
              <w:jc w:val="center"/>
              <w:rPr>
                <w:rFonts w:hint="eastAsia" w:ascii="宋体" w:hAnsi="宋体" w:eastAsia="宋体" w:cs="宋体"/>
                <w:color w:val="auto"/>
                <w:szCs w:val="21"/>
                <w:highlight w:val="none"/>
              </w:rPr>
            </w:pPr>
          </w:p>
        </w:tc>
      </w:tr>
    </w:tbl>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说明：在偏离项必须注明正偏离、负偏离或无偏离。</w:t>
      </w:r>
    </w:p>
    <w:p>
      <w:pPr>
        <w:pStyle w:val="17"/>
        <w:snapToGrid w:val="0"/>
        <w:spacing w:line="360" w:lineRule="auto"/>
        <w:ind w:firstLine="420" w:firstLineChars="200"/>
        <w:rPr>
          <w:rFonts w:hint="eastAsia" w:ascii="宋体" w:hAnsi="宋体" w:eastAsia="宋体" w:cs="宋体"/>
          <w:color w:val="auto"/>
          <w:szCs w:val="21"/>
          <w:highlight w:val="none"/>
        </w:rPr>
      </w:pP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供应商名称(公章)：________________</w:t>
      </w: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法定代表人或其授权代表(签字或盖章)：________________</w:t>
      </w:r>
    </w:p>
    <w:p>
      <w:pPr>
        <w:pStyle w:val="17"/>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日期：______年____月____日</w:t>
      </w:r>
    </w:p>
    <w:p>
      <w:pPr>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p>
    <w:p>
      <w:pPr>
        <w:pStyle w:val="6"/>
        <w:keepNext w:val="0"/>
        <w:keepLines w:val="0"/>
        <w:numPr>
          <w:ilvl w:val="0"/>
          <w:numId w:val="0"/>
        </w:numPr>
        <w:spacing w:line="360" w:lineRule="auto"/>
        <w:ind w:firstLine="3132" w:firstLineChars="1300"/>
        <w:outlineLvl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供应商的资格证明文件</w:t>
      </w:r>
    </w:p>
    <w:p>
      <w:pPr>
        <w:pStyle w:val="2"/>
        <w:numPr>
          <w:ilvl w:val="0"/>
          <w:numId w:val="0"/>
        </w:numPr>
        <w:spacing w:line="360" w:lineRule="auto"/>
        <w:ind w:right="0" w:rightChars="0"/>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1、响应文件中提供有效的营业执照（或事业法人证书或身份证等相关证明）副本扫描件并加盖投标人公章。</w:t>
      </w:r>
    </w:p>
    <w:p>
      <w:pPr>
        <w:pStyle w:val="2"/>
        <w:numPr>
          <w:ilvl w:val="0"/>
          <w:numId w:val="0"/>
        </w:numPr>
        <w:spacing w:line="360" w:lineRule="auto"/>
        <w:ind w:right="0" w:rightChars="0"/>
        <w:rPr>
          <w:rFonts w:hint="eastAsia" w:ascii="宋体" w:hAnsi="宋体" w:eastAsia="宋体" w:cs="宋体"/>
          <w:bCs/>
          <w:color w:val="auto"/>
          <w:sz w:val="24"/>
          <w:szCs w:val="24"/>
          <w:highlight w:val="none"/>
        </w:rPr>
      </w:pPr>
      <w:r>
        <w:rPr>
          <w:rFonts w:hint="eastAsia" w:hAnsi="宋体" w:cs="宋体"/>
          <w:bCs/>
          <w:color w:val="auto"/>
          <w:highlight w:val="none"/>
          <w:lang w:val="en-US" w:eastAsia="zh-CN"/>
        </w:rPr>
        <w:t>2、</w:t>
      </w:r>
      <w:r>
        <w:rPr>
          <w:rFonts w:hint="eastAsia" w:ascii="宋体" w:hAnsi="宋体" w:eastAsia="宋体" w:cs="宋体"/>
          <w:bCs/>
          <w:color w:val="auto"/>
          <w:highlight w:val="none"/>
          <w:lang w:eastAsia="zh-CN"/>
        </w:rPr>
        <w:t>供应商未被列入“信用中国”失信被执行人扫描件、重大税收违法案件当事人名单扫</w:t>
      </w:r>
      <w:r>
        <w:rPr>
          <w:rFonts w:hint="eastAsia" w:ascii="宋体" w:hAnsi="宋体" w:eastAsia="宋体" w:cs="宋体"/>
          <w:bCs/>
          <w:color w:val="auto"/>
          <w:sz w:val="24"/>
          <w:szCs w:val="24"/>
          <w:highlight w:val="none"/>
        </w:rPr>
        <w:t>描件、政府采购严重违法失信名单扫描件以及“中国政府采购网”政府采购严重违法失信行为记录名单扫描件</w:t>
      </w:r>
      <w:r>
        <w:rPr>
          <w:rFonts w:hint="eastAsia" w:ascii="宋体" w:hAnsi="宋体" w:eastAsia="宋体" w:cs="宋体"/>
          <w:b/>
          <w:color w:val="auto"/>
          <w:sz w:val="24"/>
          <w:szCs w:val="24"/>
          <w:highlight w:val="none"/>
        </w:rPr>
        <w:t>（此项供应商可选择性提供，以采购人或代理机构现场查询结果为准）</w:t>
      </w:r>
      <w:r>
        <w:rPr>
          <w:rFonts w:hint="eastAsia" w:ascii="宋体" w:hAnsi="宋体" w:eastAsia="宋体" w:cs="宋体"/>
          <w:bCs/>
          <w:color w:val="auto"/>
          <w:sz w:val="24"/>
          <w:szCs w:val="24"/>
          <w:highlight w:val="none"/>
        </w:rPr>
        <w:t>；</w:t>
      </w:r>
    </w:p>
    <w:p>
      <w:pPr>
        <w:pStyle w:val="17"/>
        <w:numPr>
          <w:ilvl w:val="0"/>
          <w:numId w:val="0"/>
        </w:numPr>
        <w:spacing w:line="360" w:lineRule="auto"/>
        <w:ind w:right="0" w:rightChars="0"/>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zh-CN"/>
        </w:rPr>
        <w:t>企业</w:t>
      </w:r>
      <w:r>
        <w:rPr>
          <w:rFonts w:hint="eastAsia" w:ascii="宋体" w:hAnsi="宋体" w:eastAsia="宋体" w:cs="宋体"/>
          <w:sz w:val="24"/>
          <w:szCs w:val="24"/>
          <w:highlight w:val="none"/>
        </w:rPr>
        <w:t>健全的财务会计制度</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rPr>
        <w:t>承诺函</w:t>
      </w:r>
      <w:r>
        <w:rPr>
          <w:rFonts w:hint="eastAsia" w:hAnsi="宋体" w:cs="宋体"/>
          <w:sz w:val="24"/>
          <w:szCs w:val="24"/>
          <w:highlight w:val="none"/>
          <w:lang w:eastAsia="zh-CN"/>
        </w:rPr>
        <w:t>，</w:t>
      </w:r>
      <w:r>
        <w:rPr>
          <w:rFonts w:hint="eastAsia" w:ascii="宋体" w:hAnsi="宋体" w:eastAsia="宋体" w:cs="宋体"/>
          <w:b w:val="0"/>
          <w:bCs w:val="0"/>
          <w:color w:val="3D4B64"/>
          <w:sz w:val="24"/>
          <w:szCs w:val="24"/>
          <w:highlight w:val="none"/>
        </w:rPr>
        <w:t>并加盖投标人公章</w:t>
      </w:r>
      <w:r>
        <w:rPr>
          <w:rFonts w:hint="eastAsia" w:ascii="宋体" w:hAnsi="宋体" w:eastAsia="宋体" w:cs="宋体"/>
          <w:sz w:val="24"/>
          <w:szCs w:val="24"/>
          <w:highlight w:val="none"/>
        </w:rPr>
        <w:t>；</w:t>
      </w:r>
    </w:p>
    <w:p>
      <w:pPr>
        <w:numPr>
          <w:ilvl w:val="0"/>
          <w:numId w:val="0"/>
        </w:numPr>
        <w:spacing w:line="360" w:lineRule="auto"/>
        <w:rPr>
          <w:rFonts w:hint="eastAsia" w:ascii="宋体" w:hAnsi="宋体" w:eastAsia="宋体" w:cs="宋体"/>
          <w:bCs/>
          <w:color w:val="auto"/>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zh-CN"/>
        </w:rPr>
        <w:t>依法缴纳税和依法缴纳社会</w:t>
      </w:r>
      <w:r>
        <w:rPr>
          <w:rFonts w:hint="eastAsia" w:ascii="宋体" w:hAnsi="宋体" w:eastAsia="宋体" w:cs="宋体"/>
          <w:sz w:val="24"/>
          <w:szCs w:val="24"/>
          <w:highlight w:val="none"/>
        </w:rPr>
        <w:t>保障资金</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rPr>
        <w:t>承诺函</w:t>
      </w:r>
      <w:r>
        <w:rPr>
          <w:rFonts w:hint="eastAsia" w:ascii="宋体" w:hAnsi="宋体" w:cs="宋体"/>
          <w:sz w:val="24"/>
          <w:szCs w:val="24"/>
          <w:highlight w:val="none"/>
          <w:lang w:eastAsia="zh-CN"/>
        </w:rPr>
        <w:t>，</w:t>
      </w:r>
      <w:r>
        <w:rPr>
          <w:rFonts w:hint="eastAsia" w:ascii="宋体" w:hAnsi="宋体" w:eastAsia="宋体" w:cs="宋体"/>
          <w:b w:val="0"/>
          <w:bCs w:val="0"/>
          <w:color w:val="3D4B64"/>
          <w:sz w:val="24"/>
          <w:szCs w:val="24"/>
          <w:highlight w:val="none"/>
        </w:rPr>
        <w:t>并加盖投标人公章</w:t>
      </w:r>
      <w:r>
        <w:rPr>
          <w:rFonts w:hint="eastAsia" w:ascii="宋体" w:hAnsi="宋体" w:eastAsia="宋体" w:cs="宋体"/>
          <w:bCs/>
          <w:color w:val="auto"/>
          <w:sz w:val="24"/>
          <w:szCs w:val="24"/>
          <w:highlight w:val="none"/>
        </w:rPr>
        <w:t>；</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3D4B64"/>
          <w:sz w:val="24"/>
          <w:szCs w:val="24"/>
          <w:highlight w:val="none"/>
        </w:rPr>
        <w:t>提供承诺其具有履行合同所必需的设备和专业技术能力</w:t>
      </w:r>
      <w:r>
        <w:rPr>
          <w:rFonts w:hint="eastAsia" w:ascii="宋体" w:hAnsi="宋体" w:eastAsia="宋体" w:cs="宋体"/>
          <w:b w:val="0"/>
          <w:bCs w:val="0"/>
          <w:color w:val="3D4B64"/>
          <w:sz w:val="24"/>
          <w:szCs w:val="24"/>
          <w:highlight w:val="none"/>
          <w:lang w:val="en-US" w:eastAsia="zh-CN"/>
        </w:rPr>
        <w:t>的</w:t>
      </w:r>
      <w:r>
        <w:rPr>
          <w:rFonts w:hint="eastAsia" w:ascii="宋体" w:hAnsi="宋体" w:eastAsia="宋体" w:cs="宋体"/>
          <w:b w:val="0"/>
          <w:bCs w:val="0"/>
          <w:color w:val="3D4B64"/>
          <w:sz w:val="24"/>
          <w:szCs w:val="24"/>
          <w:highlight w:val="none"/>
        </w:rPr>
        <w:t>承诺函</w:t>
      </w:r>
      <w:r>
        <w:rPr>
          <w:rFonts w:hint="eastAsia" w:ascii="宋体" w:hAnsi="宋体" w:cs="宋体"/>
          <w:b w:val="0"/>
          <w:bCs w:val="0"/>
          <w:color w:val="3D4B64"/>
          <w:sz w:val="24"/>
          <w:szCs w:val="24"/>
          <w:highlight w:val="none"/>
          <w:lang w:eastAsia="zh-CN"/>
        </w:rPr>
        <w:t>，</w:t>
      </w:r>
      <w:r>
        <w:rPr>
          <w:rFonts w:hint="eastAsia" w:ascii="宋体" w:hAnsi="宋体" w:eastAsia="宋体" w:cs="宋体"/>
          <w:b w:val="0"/>
          <w:bCs w:val="0"/>
          <w:color w:val="3D4B64"/>
          <w:sz w:val="24"/>
          <w:szCs w:val="24"/>
          <w:highlight w:val="none"/>
        </w:rPr>
        <w:t>并加盖投标人公章。</w:t>
      </w:r>
    </w:p>
    <w:p>
      <w:pPr>
        <w:numPr>
          <w:ilvl w:val="0"/>
          <w:numId w:val="0"/>
        </w:numPr>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其他能够证明供应商实力的证书</w:t>
      </w:r>
      <w:r>
        <w:rPr>
          <w:rFonts w:hint="eastAsia" w:ascii="宋体" w:hAnsi="宋体" w:eastAsia="宋体" w:cs="宋体"/>
          <w:bCs/>
          <w:color w:val="auto"/>
          <w:sz w:val="24"/>
          <w:szCs w:val="24"/>
          <w:highlight w:val="none"/>
          <w:lang w:eastAsia="zh-CN"/>
        </w:rPr>
        <w:t>原件扫描件</w:t>
      </w:r>
      <w:r>
        <w:rPr>
          <w:rFonts w:hint="eastAsia" w:ascii="宋体" w:hAnsi="宋体" w:eastAsia="宋体" w:cs="宋体"/>
          <w:bCs/>
          <w:color w:val="auto"/>
          <w:sz w:val="24"/>
          <w:szCs w:val="24"/>
          <w:highlight w:val="none"/>
        </w:rPr>
        <w:t>和资料</w:t>
      </w:r>
      <w:r>
        <w:rPr>
          <w:rFonts w:hint="eastAsia" w:ascii="宋体" w:hAnsi="宋体" w:eastAsia="宋体" w:cs="宋体"/>
          <w:bCs/>
          <w:color w:val="auto"/>
          <w:sz w:val="24"/>
          <w:szCs w:val="24"/>
          <w:highlight w:val="none"/>
          <w:lang w:eastAsia="zh-CN"/>
        </w:rPr>
        <w:t>原件扫描件</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如有时</w:t>
      </w:r>
      <w:r>
        <w:rPr>
          <w:rFonts w:hint="eastAsia" w:ascii="宋体" w:hAnsi="宋体" w:cs="宋体"/>
          <w:bCs/>
          <w:color w:val="auto"/>
          <w:sz w:val="24"/>
          <w:szCs w:val="24"/>
          <w:highlight w:val="none"/>
          <w:lang w:eastAsia="zh-CN"/>
        </w:rPr>
        <w:t>）</w:t>
      </w:r>
    </w:p>
    <w:p>
      <w:pPr>
        <w:spacing w:before="40" w:after="40" w:line="360" w:lineRule="auto"/>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附件三：供应商基本情况表</w:t>
      </w:r>
    </w:p>
    <w:p>
      <w:pPr>
        <w:spacing w:before="40" w:after="4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供应商基本情况表</w:t>
      </w:r>
    </w:p>
    <w:p>
      <w:pPr>
        <w:spacing w:before="40" w:after="4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（单位公章）</w:t>
      </w:r>
    </w:p>
    <w:tbl>
      <w:tblPr>
        <w:tblStyle w:val="27"/>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65"/>
        <w:gridCol w:w="1747"/>
        <w:gridCol w:w="396"/>
        <w:gridCol w:w="192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2143"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922"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p>
        </w:tc>
        <w:tc>
          <w:tcPr>
            <w:tcW w:w="2143"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922"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143"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922"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143"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922"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143"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922"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791" w:type="dxa"/>
            <w:vMerge w:val="restart"/>
            <w:noWrap w:val="0"/>
            <w:vAlign w:val="center"/>
          </w:tcPr>
          <w:p>
            <w:pPr>
              <w:pStyle w:val="17"/>
              <w:snapToGrid w:val="0"/>
              <w:jc w:val="center"/>
              <w:rPr>
                <w:rFonts w:hint="eastAsia" w:ascii="宋体" w:hAnsi="宋体" w:eastAsia="宋体" w:cs="宋体"/>
                <w:color w:val="auto"/>
                <w:sz w:val="24"/>
                <w:szCs w:val="24"/>
                <w:highlight w:val="none"/>
              </w:rPr>
            </w:pPr>
          </w:p>
          <w:p>
            <w:pPr>
              <w:pStyle w:val="17"/>
              <w:snapToGrid w:val="0"/>
              <w:jc w:val="center"/>
              <w:rPr>
                <w:rFonts w:hint="eastAsia" w:ascii="宋体" w:hAnsi="宋体" w:eastAsia="宋体" w:cs="宋体"/>
                <w:color w:val="auto"/>
                <w:sz w:val="24"/>
                <w:szCs w:val="24"/>
                <w:highlight w:val="none"/>
              </w:rPr>
            </w:pPr>
          </w:p>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p>
            <w:pPr>
              <w:pStyle w:val="17"/>
              <w:snapToGrid w:val="0"/>
              <w:jc w:val="center"/>
              <w:rPr>
                <w:rFonts w:hint="eastAsia" w:ascii="宋体" w:hAnsi="宋体" w:eastAsia="宋体" w:cs="宋体"/>
                <w:color w:val="auto"/>
                <w:sz w:val="24"/>
                <w:szCs w:val="24"/>
                <w:highlight w:val="none"/>
              </w:rPr>
            </w:pPr>
          </w:p>
          <w:p>
            <w:pPr>
              <w:pStyle w:val="17"/>
              <w:snapToGrid w:val="0"/>
              <w:jc w:val="center"/>
              <w:rPr>
                <w:rFonts w:hint="eastAsia" w:ascii="宋体" w:hAnsi="宋体" w:eastAsia="宋体" w:cs="宋体"/>
                <w:color w:val="auto"/>
                <w:sz w:val="24"/>
                <w:szCs w:val="24"/>
                <w:highlight w:val="none"/>
              </w:rPr>
            </w:pPr>
          </w:p>
        </w:tc>
        <w:tc>
          <w:tcPr>
            <w:tcW w:w="1965"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注册号码</w:t>
            </w:r>
          </w:p>
        </w:tc>
        <w:tc>
          <w:tcPr>
            <w:tcW w:w="2143"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922"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  地址</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791" w:type="dxa"/>
            <w:vMerge w:val="continue"/>
            <w:noWrap w:val="0"/>
            <w:vAlign w:val="center"/>
          </w:tcPr>
          <w:p>
            <w:pPr>
              <w:pStyle w:val="17"/>
              <w:snapToGrid w:val="0"/>
              <w:jc w:val="center"/>
              <w:rPr>
                <w:rFonts w:hint="eastAsia" w:ascii="宋体" w:hAnsi="宋体" w:eastAsia="宋体" w:cs="宋体"/>
                <w:color w:val="auto"/>
                <w:sz w:val="24"/>
                <w:szCs w:val="24"/>
                <w:highlight w:val="none"/>
              </w:rPr>
            </w:pPr>
          </w:p>
        </w:tc>
        <w:tc>
          <w:tcPr>
            <w:tcW w:w="1965"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143"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922"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  日期</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791" w:type="dxa"/>
            <w:vMerge w:val="continue"/>
            <w:noWrap w:val="0"/>
            <w:vAlign w:val="center"/>
          </w:tcPr>
          <w:p>
            <w:pPr>
              <w:pStyle w:val="17"/>
              <w:snapToGrid w:val="0"/>
              <w:jc w:val="center"/>
              <w:rPr>
                <w:rFonts w:hint="eastAsia" w:ascii="宋体" w:hAnsi="宋体" w:eastAsia="宋体" w:cs="宋体"/>
                <w:color w:val="auto"/>
                <w:sz w:val="24"/>
                <w:szCs w:val="24"/>
                <w:highlight w:val="none"/>
              </w:rPr>
            </w:pPr>
          </w:p>
        </w:tc>
        <w:tc>
          <w:tcPr>
            <w:tcW w:w="1965"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372" w:type="dxa"/>
            <w:gridSpan w:val="4"/>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791" w:type="dxa"/>
            <w:vMerge w:val="continue"/>
            <w:noWrap w:val="0"/>
            <w:vAlign w:val="center"/>
          </w:tcPr>
          <w:p>
            <w:pPr>
              <w:pStyle w:val="17"/>
              <w:snapToGrid w:val="0"/>
              <w:jc w:val="center"/>
              <w:rPr>
                <w:rFonts w:hint="eastAsia" w:ascii="宋体" w:hAnsi="宋体" w:eastAsia="宋体" w:cs="宋体"/>
                <w:color w:val="auto"/>
                <w:sz w:val="24"/>
                <w:szCs w:val="24"/>
                <w:highlight w:val="none"/>
              </w:rPr>
            </w:pPr>
          </w:p>
        </w:tc>
        <w:tc>
          <w:tcPr>
            <w:tcW w:w="1965"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372" w:type="dxa"/>
            <w:gridSpan w:val="4"/>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372" w:type="dxa"/>
            <w:gridSpan w:val="4"/>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372" w:type="dxa"/>
            <w:gridSpan w:val="4"/>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747"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318" w:type="dxa"/>
            <w:gridSpan w:val="2"/>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747" w:type="dxa"/>
            <w:noWrap w:val="0"/>
            <w:vAlign w:val="center"/>
          </w:tcPr>
          <w:p>
            <w:pPr>
              <w:pStyle w:val="17"/>
              <w:snapToGrid w:val="0"/>
              <w:jc w:val="center"/>
              <w:rPr>
                <w:rFonts w:hint="eastAsia" w:ascii="宋体" w:hAnsi="宋体" w:eastAsia="宋体" w:cs="宋体"/>
                <w:color w:val="auto"/>
                <w:sz w:val="24"/>
                <w:szCs w:val="24"/>
                <w:highlight w:val="none"/>
              </w:rPr>
            </w:pPr>
          </w:p>
        </w:tc>
        <w:tc>
          <w:tcPr>
            <w:tcW w:w="2318"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747" w:type="dxa"/>
            <w:noWrap w:val="0"/>
            <w:vAlign w:val="center"/>
          </w:tcPr>
          <w:p>
            <w:pPr>
              <w:pStyle w:val="17"/>
              <w:snapToGrid w:val="0"/>
              <w:jc w:val="center"/>
              <w:rPr>
                <w:rFonts w:hint="eastAsia" w:ascii="宋体" w:hAnsi="宋体" w:eastAsia="宋体" w:cs="宋体"/>
                <w:color w:val="auto"/>
                <w:sz w:val="24"/>
                <w:szCs w:val="24"/>
                <w:highlight w:val="none"/>
              </w:rPr>
            </w:pPr>
          </w:p>
        </w:tc>
        <w:tc>
          <w:tcPr>
            <w:tcW w:w="2318"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1747" w:type="dxa"/>
            <w:noWrap w:val="0"/>
            <w:vAlign w:val="center"/>
          </w:tcPr>
          <w:p>
            <w:pPr>
              <w:pStyle w:val="17"/>
              <w:snapToGrid w:val="0"/>
              <w:jc w:val="center"/>
              <w:rPr>
                <w:rFonts w:hint="eastAsia" w:ascii="宋体" w:hAnsi="宋体" w:eastAsia="宋体" w:cs="宋体"/>
                <w:color w:val="auto"/>
                <w:sz w:val="24"/>
                <w:szCs w:val="24"/>
                <w:highlight w:val="none"/>
              </w:rPr>
            </w:pPr>
          </w:p>
        </w:tc>
        <w:tc>
          <w:tcPr>
            <w:tcW w:w="2318" w:type="dxa"/>
            <w:gridSpan w:val="2"/>
            <w:noWrap w:val="0"/>
            <w:vAlign w:val="center"/>
          </w:tcPr>
          <w:p>
            <w:pPr>
              <w:pStyle w:val="17"/>
              <w:snapToGrid w:val="0"/>
              <w:jc w:val="center"/>
              <w:rPr>
                <w:rFonts w:hint="eastAsia" w:ascii="宋体" w:hAnsi="宋体" w:eastAsia="宋体" w:cs="宋体"/>
                <w:color w:val="auto"/>
                <w:sz w:val="24"/>
                <w:szCs w:val="24"/>
                <w:highlight w:val="none"/>
              </w:rPr>
            </w:pPr>
          </w:p>
        </w:tc>
        <w:tc>
          <w:tcPr>
            <w:tcW w:w="2307" w:type="dxa"/>
            <w:noWrap w:val="0"/>
            <w:vAlign w:val="center"/>
          </w:tcPr>
          <w:p>
            <w:pPr>
              <w:pStyle w:val="17"/>
              <w:snapToGrid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2756" w:type="dxa"/>
            <w:gridSpan w:val="2"/>
            <w:noWrap w:val="0"/>
            <w:vAlign w:val="center"/>
          </w:tcPr>
          <w:p>
            <w:pPr>
              <w:pStyle w:val="17"/>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372" w:type="dxa"/>
            <w:gridSpan w:val="4"/>
            <w:noWrap w:val="0"/>
            <w:vAlign w:val="center"/>
          </w:tcPr>
          <w:p>
            <w:pPr>
              <w:pStyle w:val="17"/>
              <w:snapToGrid w:val="0"/>
              <w:spacing w:line="360" w:lineRule="auto"/>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ind w:firstLine="720" w:firstLineChars="300"/>
        <w:rPr>
          <w:rFonts w:hint="eastAsia" w:ascii="宋体" w:hAnsi="宋体" w:eastAsia="宋体" w:cs="宋体"/>
          <w:color w:val="auto"/>
          <w:sz w:val="24"/>
          <w:szCs w:val="24"/>
          <w:highlight w:val="none"/>
        </w:rPr>
      </w:pPr>
    </w:p>
    <w:p>
      <w:pPr>
        <w:ind w:firstLine="630" w:firstLineChars="300"/>
        <w:rPr>
          <w:rFonts w:hint="eastAsia" w:ascii="宋体" w:hAnsi="宋体" w:eastAsia="宋体" w:cs="宋体"/>
          <w:color w:val="auto"/>
          <w:szCs w:val="21"/>
          <w:highlight w:val="none"/>
        </w:rPr>
      </w:pPr>
    </w:p>
    <w:p>
      <w:pPr>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附件四：参加政府采购活动前三年内在经营活动中没有重大违法记录的书面声明</w:t>
      </w:r>
    </w:p>
    <w:p>
      <w:pPr>
        <w:rPr>
          <w:rFonts w:hint="eastAsia" w:ascii="宋体" w:hAnsi="宋体" w:eastAsia="宋体" w:cs="宋体"/>
          <w:color w:val="auto"/>
          <w:highlight w:val="none"/>
        </w:rPr>
      </w:pPr>
    </w:p>
    <w:p>
      <w:pPr>
        <w:pStyle w:val="17"/>
        <w:snapToGrid w:val="0"/>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参加政府采购活动前三年内在经营活动中</w:t>
      </w:r>
    </w:p>
    <w:p>
      <w:pPr>
        <w:pStyle w:val="17"/>
        <w:snapToGrid w:val="0"/>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没有重大违法记录的书面声明</w:t>
      </w:r>
    </w:p>
    <w:p>
      <w:pPr>
        <w:pStyle w:val="17"/>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名称(公章)：______________</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法定代表人(签字或盖章)：______________</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17"/>
        <w:snapToGrid w:val="0"/>
        <w:spacing w:line="360" w:lineRule="auto"/>
        <w:rPr>
          <w:rFonts w:hint="eastAsia" w:ascii="宋体" w:hAnsi="宋体" w:eastAsia="宋体" w:cs="宋体"/>
          <w:color w:val="auto"/>
          <w:highlight w:val="none"/>
        </w:rPr>
      </w:pPr>
    </w:p>
    <w:p>
      <w:pPr>
        <w:pStyle w:val="17"/>
        <w:snapToGrid w:val="0"/>
        <w:spacing w:line="360" w:lineRule="auto"/>
        <w:ind w:firstLine="643" w:firstLineChars="200"/>
        <w:jc w:val="center"/>
        <w:rPr>
          <w:rFonts w:hint="eastAsia" w:ascii="宋体" w:hAnsi="宋体" w:eastAsia="宋体" w:cs="宋体"/>
          <w:b/>
          <w:bCs/>
          <w:color w:val="auto"/>
          <w:sz w:val="32"/>
          <w:szCs w:val="32"/>
          <w:highlight w:val="none"/>
        </w:rPr>
      </w:pPr>
    </w:p>
    <w:p>
      <w:pPr>
        <w:pStyle w:val="24"/>
        <w:snapToGrid w:val="0"/>
        <w:spacing w:before="0" w:beforeAutospacing="0" w:after="0" w:afterAutospacing="0" w:line="360" w:lineRule="auto"/>
        <w:jc w:val="both"/>
        <w:rPr>
          <w:rFonts w:hint="eastAsia" w:ascii="宋体" w:hAnsi="宋体" w:eastAsia="宋体" w:cs="宋体"/>
          <w:b/>
          <w:bCs/>
          <w:color w:val="auto"/>
          <w:szCs w:val="24"/>
          <w:highlight w:val="none"/>
        </w:rPr>
      </w:pPr>
      <w:r>
        <w:rPr>
          <w:rFonts w:hint="eastAsia" w:ascii="宋体" w:hAnsi="宋体" w:eastAsia="宋体" w:cs="宋体"/>
          <w:color w:val="auto"/>
          <w:sz w:val="24"/>
          <w:szCs w:val="24"/>
          <w:highlight w:val="none"/>
        </w:rPr>
        <w:br w:type="page"/>
      </w:r>
      <w:bookmarkEnd w:id="42"/>
    </w:p>
    <w:p>
      <w:pPr>
        <w:pStyle w:val="6"/>
        <w:keepNext w:val="0"/>
        <w:keepLines w:val="0"/>
        <w:ind w:firstLine="0" w:firstLineChars="0"/>
        <w:jc w:val="center"/>
        <w:outlineLvl w:val="2"/>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技术文件</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包括但不限于以下内容： </w:t>
      </w:r>
    </w:p>
    <w:p>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1、专业技术能力</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2、项目实施方案； </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3、运行管理方案； </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4、应急预案； </w:t>
      </w:r>
    </w:p>
    <w:p>
      <w:pPr>
        <w:pStyle w:val="17"/>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000000"/>
          <w:kern w:val="0"/>
          <w:sz w:val="24"/>
          <w:szCs w:val="24"/>
          <w:highlight w:val="none"/>
          <w:lang w:val="en-US" w:eastAsia="zh-CN" w:bidi="ar"/>
        </w:rPr>
        <w:t>5、</w:t>
      </w:r>
      <w:r>
        <w:rPr>
          <w:rFonts w:hint="eastAsia" w:hAnsi="宋体" w:eastAsia="宋体" w:cs="宋体"/>
          <w:b w:val="0"/>
          <w:bCs w:val="0"/>
          <w:color w:val="auto"/>
          <w:sz w:val="24"/>
          <w:szCs w:val="24"/>
          <w:highlight w:val="none"/>
          <w:lang w:eastAsia="zh-CN"/>
        </w:rPr>
        <w:t>类似</w:t>
      </w:r>
      <w:r>
        <w:rPr>
          <w:rFonts w:hint="eastAsia" w:ascii="宋体" w:hAnsi="宋体" w:eastAsia="宋体" w:cs="宋体"/>
          <w:b w:val="0"/>
          <w:bCs w:val="0"/>
          <w:color w:val="auto"/>
          <w:sz w:val="24"/>
          <w:szCs w:val="24"/>
          <w:highlight w:val="none"/>
        </w:rPr>
        <w:t>业绩一览表</w:t>
      </w:r>
    </w:p>
    <w:p>
      <w:pPr>
        <w:pStyle w:val="17"/>
        <w:jc w:val="center"/>
        <w:rPr>
          <w:rFonts w:hint="eastAsia" w:ascii="宋体" w:hAnsi="宋体" w:eastAsia="宋体" w:cs="宋体"/>
          <w:b w:val="0"/>
          <w:bCs w:val="0"/>
          <w:color w:val="auto"/>
          <w:sz w:val="24"/>
          <w:szCs w:val="24"/>
          <w:highlight w:val="none"/>
        </w:rPr>
      </w:pPr>
    </w:p>
    <w:p>
      <w:pPr>
        <w:pStyle w:val="17"/>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年</w:t>
      </w: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月</w:t>
      </w:r>
      <w:r>
        <w:rPr>
          <w:rFonts w:hint="eastAsia" w:ascii="宋体" w:hAnsi="宋体" w:eastAsia="宋体" w:cs="宋体"/>
          <w:b w:val="0"/>
          <w:bCs w:val="0"/>
          <w:color w:val="auto"/>
          <w:sz w:val="24"/>
          <w:szCs w:val="24"/>
          <w:highlight w:val="none"/>
        </w:rPr>
        <w:t>至今</w:t>
      </w:r>
      <w:r>
        <w:rPr>
          <w:rFonts w:hint="eastAsia" w:hAnsi="宋体" w:eastAsia="宋体" w:cs="宋体"/>
          <w:b w:val="0"/>
          <w:bCs w:val="0"/>
          <w:color w:val="auto"/>
          <w:sz w:val="24"/>
          <w:szCs w:val="24"/>
          <w:highlight w:val="none"/>
          <w:lang w:eastAsia="zh-CN"/>
        </w:rPr>
        <w:t>已完成</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类似</w:t>
      </w:r>
      <w:r>
        <w:rPr>
          <w:rFonts w:hint="eastAsia" w:ascii="宋体" w:hAnsi="宋体" w:eastAsia="宋体" w:cs="宋体"/>
          <w:b w:val="0"/>
          <w:bCs w:val="0"/>
          <w:color w:val="auto"/>
          <w:sz w:val="24"/>
          <w:szCs w:val="24"/>
          <w:highlight w:val="none"/>
        </w:rPr>
        <w:t>业绩</w:t>
      </w:r>
      <w:r>
        <w:rPr>
          <w:rFonts w:hint="eastAsia" w:hAnsi="宋体" w:eastAsia="宋体" w:cs="宋体"/>
          <w:b w:val="0"/>
          <w:bCs w:val="0"/>
          <w:color w:val="auto"/>
          <w:sz w:val="24"/>
          <w:szCs w:val="24"/>
          <w:highlight w:val="none"/>
          <w:lang w:eastAsia="zh-CN"/>
        </w:rPr>
        <w:t>，以合同签订时间为准</w:t>
      </w:r>
      <w:r>
        <w:rPr>
          <w:rFonts w:hint="eastAsia" w:ascii="宋体" w:hAnsi="宋体" w:eastAsia="宋体" w:cs="宋体"/>
          <w:b w:val="0"/>
          <w:bCs w:val="0"/>
          <w:color w:val="auto"/>
          <w:sz w:val="24"/>
          <w:szCs w:val="24"/>
          <w:highlight w:val="none"/>
        </w:rPr>
        <w:t>）</w:t>
      </w:r>
    </w:p>
    <w:p>
      <w:pPr>
        <w:pStyle w:val="17"/>
        <w:jc w:val="center"/>
        <w:rPr>
          <w:rFonts w:hint="eastAsia" w:ascii="宋体" w:hAnsi="宋体" w:eastAsia="宋体" w:cs="宋体"/>
          <w:b w:val="0"/>
          <w:bCs w:val="0"/>
          <w:color w:val="auto"/>
          <w:sz w:val="24"/>
          <w:szCs w:val="24"/>
          <w:highlight w:val="none"/>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325"/>
        <w:gridCol w:w="2188"/>
        <w:gridCol w:w="1812"/>
        <w:gridCol w:w="1500"/>
        <w:gridCol w:w="1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874"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序号</w:t>
            </w:r>
          </w:p>
        </w:tc>
        <w:tc>
          <w:tcPr>
            <w:tcW w:w="1325"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采购单位</w:t>
            </w:r>
          </w:p>
        </w:tc>
        <w:tc>
          <w:tcPr>
            <w:tcW w:w="2188"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1812"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完 成 日 期</w:t>
            </w:r>
          </w:p>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（年/月/日）</w:t>
            </w:r>
          </w:p>
        </w:tc>
        <w:tc>
          <w:tcPr>
            <w:tcW w:w="1500"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项目金额</w:t>
            </w:r>
          </w:p>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（万元）</w:t>
            </w:r>
          </w:p>
        </w:tc>
        <w:tc>
          <w:tcPr>
            <w:tcW w:w="1737"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w:t>
            </w:r>
            <w:r>
              <w:rPr>
                <w:rFonts w:hint="eastAsia" w:hAnsi="宋体" w:eastAsia="宋体" w:cs="宋体"/>
                <w:b w:val="0"/>
                <w:bCs w:val="0"/>
                <w:color w:val="auto"/>
                <w:sz w:val="24"/>
                <w:szCs w:val="24"/>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74"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325"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2188"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812"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500"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737"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74"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325"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2188"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812"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500"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737"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74"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325"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2188"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812"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500"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737"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74"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325"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2188"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812"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500"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737"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74"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325"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2188"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812"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500"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c>
          <w:tcPr>
            <w:tcW w:w="1737" w:type="dxa"/>
            <w:noWrap w:val="0"/>
            <w:vAlign w:val="center"/>
          </w:tcPr>
          <w:p>
            <w:pPr>
              <w:pStyle w:val="17"/>
              <w:adjustRightInd/>
              <w:spacing w:line="360" w:lineRule="atLeast"/>
              <w:jc w:val="center"/>
              <w:rPr>
                <w:rFonts w:hint="eastAsia" w:ascii="宋体" w:hAnsi="宋体" w:eastAsia="宋体" w:cs="宋体"/>
                <w:b w:val="0"/>
                <w:bCs w:val="0"/>
                <w:color w:val="auto"/>
                <w:sz w:val="24"/>
                <w:szCs w:val="24"/>
                <w:highlight w:val="none"/>
                <w:lang w:val="en-US" w:eastAsia="zh-CN"/>
              </w:rPr>
            </w:pPr>
          </w:p>
        </w:tc>
      </w:tr>
    </w:tbl>
    <w:p>
      <w:pPr>
        <w:pStyle w:val="17"/>
        <w:ind w:firstLine="235" w:firstLineChars="9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（表格可按相同格式扩展）</w:t>
      </w:r>
    </w:p>
    <w:p>
      <w:pPr>
        <w:pStyle w:val="17"/>
        <w:ind w:firstLine="235" w:firstLineChars="98"/>
        <w:rPr>
          <w:rFonts w:hint="eastAsia" w:ascii="宋体" w:hAnsi="宋体" w:eastAsia="宋体" w:cs="宋体"/>
          <w:b w:val="0"/>
          <w:bCs w:val="0"/>
          <w:color w:val="auto"/>
          <w:sz w:val="24"/>
          <w:szCs w:val="24"/>
          <w:highlight w:val="none"/>
        </w:rPr>
      </w:pPr>
    </w:p>
    <w:p>
      <w:pPr>
        <w:pStyle w:val="17"/>
        <w:snapToGrid w:val="0"/>
        <w:spacing w:line="360" w:lineRule="auto"/>
        <w:rPr>
          <w:rFonts w:hint="eastAsia" w:ascii="宋体" w:hAnsi="宋体" w:eastAsia="宋体" w:cs="宋体"/>
          <w:bCs/>
          <w:color w:val="auto"/>
          <w:sz w:val="24"/>
          <w:szCs w:val="24"/>
          <w:highlight w:val="none"/>
        </w:rPr>
      </w:pPr>
    </w:p>
    <w:p>
      <w:pPr>
        <w:pStyle w:val="17"/>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名称(公章)：______________</w:t>
      </w:r>
    </w:p>
    <w:p>
      <w:pPr>
        <w:pStyle w:val="17"/>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法定代表人(签字或盖章)：______________</w:t>
      </w:r>
    </w:p>
    <w:p>
      <w:pPr>
        <w:pStyle w:val="17"/>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26"/>
        <w:rPr>
          <w:rFonts w:hint="eastAsia"/>
          <w:b w:val="0"/>
          <w:bCs w:val="0"/>
          <w:color w:val="auto"/>
          <w:sz w:val="24"/>
          <w:szCs w:val="24"/>
          <w:highlight w:val="none"/>
        </w:rPr>
      </w:pPr>
    </w:p>
    <w:p>
      <w:pPr>
        <w:pStyle w:val="17"/>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eastAsia="宋体"/>
          <w:sz w:val="21"/>
          <w:szCs w:val="21"/>
          <w:highlight w:val="none"/>
          <w:lang w:eastAsia="zh-CN"/>
        </w:rPr>
        <w:t>合同并加盖电子签章</w:t>
      </w:r>
      <w:r>
        <w:rPr>
          <w:rFonts w:hint="eastAsia"/>
          <w:sz w:val="21"/>
          <w:szCs w:val="21"/>
          <w:highlight w:val="none"/>
          <w:lang w:eastAsia="zh-CN"/>
        </w:rPr>
        <w:t>，</w:t>
      </w:r>
      <w:r>
        <w:rPr>
          <w:rFonts w:hint="eastAsia" w:eastAsia="宋体"/>
          <w:sz w:val="21"/>
          <w:szCs w:val="21"/>
          <w:highlight w:val="none"/>
          <w:lang w:eastAsia="zh-CN"/>
        </w:rPr>
        <w:t>未按要求提供或提供不全不予计分。</w:t>
      </w:r>
    </w:p>
    <w:p>
      <w:pPr>
        <w:pStyle w:val="17"/>
        <w:jc w:val="center"/>
        <w:rPr>
          <w:rFonts w:hint="eastAsia" w:ascii="宋体" w:hAnsi="宋体" w:eastAsia="宋体" w:cs="宋体"/>
          <w:b/>
          <w:color w:val="auto"/>
          <w:sz w:val="24"/>
          <w:szCs w:val="24"/>
          <w:highlight w:val="none"/>
        </w:rPr>
      </w:pPr>
    </w:p>
    <w:p>
      <w:pPr>
        <w:pStyle w:val="16"/>
        <w:rPr>
          <w:rFonts w:hint="default"/>
          <w:highlight w:val="none"/>
          <w:lang w:val="en-US"/>
        </w:rPr>
      </w:pPr>
    </w:p>
    <w:p>
      <w:pPr>
        <w:rPr>
          <w:rFonts w:hint="eastAsia" w:ascii="宋体" w:hAnsi="宋体" w:eastAsia="宋体" w:cs="宋体"/>
          <w:color w:val="auto"/>
          <w:spacing w:val="-8"/>
          <w:highlight w:val="none"/>
          <w:lang w:val="en-US" w:eastAsia="zh-CN"/>
        </w:rPr>
      </w:pPr>
      <w:r>
        <w:rPr>
          <w:rFonts w:hint="eastAsia" w:ascii="宋体" w:hAnsi="宋体" w:eastAsia="宋体" w:cs="宋体"/>
          <w:color w:val="auto"/>
          <w:spacing w:val="-8"/>
          <w:highlight w:val="none"/>
          <w:lang w:val="en-US" w:eastAsia="zh-CN"/>
        </w:rPr>
        <w:br w:type="page"/>
      </w:r>
    </w:p>
    <w:bookmarkEnd w:id="43"/>
    <w:p>
      <w:pPr>
        <w:pStyle w:val="6"/>
        <w:bidi w:val="0"/>
        <w:jc w:val="center"/>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质量和售后服务承诺</w:t>
      </w:r>
    </w:p>
    <w:p>
      <w:pPr>
        <w:pStyle w:val="2"/>
        <w:rPr>
          <w:rFonts w:hint="eastAsia" w:ascii="宋体" w:hAnsi="宋体" w:eastAsia="宋体" w:cs="宋体"/>
          <w:color w:val="auto"/>
          <w:spacing w:val="-8"/>
          <w:highlight w:val="none"/>
          <w:lang w:eastAsia="zh-CN"/>
        </w:rPr>
      </w:pPr>
      <w:r>
        <w:rPr>
          <w:rFonts w:hint="eastAsia" w:ascii="宋体" w:hAnsi="宋体" w:eastAsia="宋体" w:cs="宋体"/>
          <w:color w:val="auto"/>
          <w:spacing w:val="-8"/>
          <w:highlight w:val="none"/>
          <w:lang w:eastAsia="zh-CN"/>
        </w:rPr>
        <w:t>包括但不限于：</w:t>
      </w:r>
    </w:p>
    <w:p>
      <w:pPr>
        <w:pStyle w:val="2"/>
        <w:rPr>
          <w:rFonts w:hint="eastAsia" w:ascii="宋体" w:hAnsi="宋体" w:eastAsia="宋体" w:cs="宋体"/>
          <w:color w:val="auto"/>
          <w:spacing w:val="-8"/>
          <w:highlight w:val="none"/>
          <w:lang w:eastAsia="zh-CN"/>
        </w:rPr>
      </w:pPr>
      <w:r>
        <w:rPr>
          <w:rFonts w:hint="eastAsia" w:ascii="宋体" w:hAnsi="宋体" w:eastAsia="宋体" w:cs="宋体"/>
          <w:color w:val="auto"/>
          <w:spacing w:val="-8"/>
          <w:highlight w:val="none"/>
          <w:lang w:val="en-US" w:eastAsia="zh-CN"/>
        </w:rPr>
        <w:t>1、</w:t>
      </w:r>
      <w:r>
        <w:rPr>
          <w:rFonts w:hint="eastAsia" w:ascii="宋体" w:hAnsi="宋体" w:eastAsia="宋体" w:cs="宋体"/>
          <w:color w:val="auto"/>
          <w:spacing w:val="-8"/>
          <w:highlight w:val="none"/>
          <w:lang w:eastAsia="zh-CN"/>
        </w:rPr>
        <w:t>质量保证措施；</w:t>
      </w:r>
    </w:p>
    <w:p>
      <w:pPr>
        <w:pStyle w:val="2"/>
        <w:rPr>
          <w:rFonts w:hint="eastAsia" w:ascii="宋体" w:hAnsi="宋体" w:eastAsia="宋体" w:cs="宋体"/>
          <w:color w:val="auto"/>
          <w:spacing w:val="-8"/>
          <w:highlight w:val="none"/>
          <w:lang w:eastAsia="zh-CN"/>
        </w:rPr>
      </w:pPr>
      <w:r>
        <w:rPr>
          <w:rFonts w:hint="eastAsia" w:ascii="宋体" w:hAnsi="宋体" w:eastAsia="宋体" w:cs="宋体"/>
          <w:color w:val="auto"/>
          <w:spacing w:val="-8"/>
          <w:highlight w:val="none"/>
          <w:lang w:val="en-US" w:eastAsia="zh-CN"/>
        </w:rPr>
        <w:t>2、</w:t>
      </w:r>
      <w:r>
        <w:rPr>
          <w:rFonts w:hint="eastAsia" w:ascii="宋体" w:hAnsi="宋体" w:eastAsia="宋体" w:cs="宋体"/>
          <w:color w:val="auto"/>
          <w:spacing w:val="-8"/>
          <w:highlight w:val="none"/>
          <w:lang w:eastAsia="zh-CN"/>
        </w:rPr>
        <w:t>售后服务承诺。</w:t>
      </w:r>
    </w:p>
    <w:p>
      <w:pPr>
        <w:rPr>
          <w:rFonts w:hint="eastAsia" w:ascii="宋体" w:hAnsi="宋体" w:cs="宋体"/>
          <w:color w:val="auto"/>
          <w:highlight w:val="none"/>
          <w:lang w:eastAsia="zh-CN"/>
        </w:rPr>
      </w:pPr>
      <w:r>
        <w:rPr>
          <w:rFonts w:hint="eastAsia" w:ascii="宋体" w:hAnsi="宋体" w:cs="宋体"/>
          <w:color w:val="auto"/>
          <w:highlight w:val="none"/>
          <w:lang w:eastAsia="zh-CN"/>
        </w:rPr>
        <w:br w:type="page"/>
      </w:r>
    </w:p>
    <w:p>
      <w:pPr>
        <w:pStyle w:val="6"/>
        <w:bidi w:val="0"/>
        <w:jc w:val="center"/>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政府采购相关政策文件（如有时）</w:t>
      </w:r>
    </w:p>
    <w:p>
      <w:pPr>
        <w:pStyle w:val="17"/>
        <w:snapToGrid w:val="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附件七：中小企业声明函</w:t>
      </w:r>
    </w:p>
    <w:p>
      <w:pPr>
        <w:pStyle w:val="17"/>
        <w:snapToGrid w:val="0"/>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本公司郑重声明，根据《政府采购促进中小企业发展暂行办法》(财库〔20</w:t>
      </w: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46</w:t>
      </w:r>
      <w:r>
        <w:rPr>
          <w:rFonts w:hint="eastAsia" w:ascii="宋体" w:hAnsi="宋体" w:eastAsia="宋体" w:cs="宋体"/>
          <w:color w:val="auto"/>
          <w:sz w:val="24"/>
          <w:szCs w:val="24"/>
          <w:highlight w:val="none"/>
          <w:shd w:val="clear" w:color="auto" w:fill="auto"/>
        </w:rPr>
        <w:t>号)的规定，本公司</w:t>
      </w:r>
      <w:r>
        <w:rPr>
          <w:rFonts w:hint="eastAsia" w:ascii="宋体" w:hAnsi="宋体" w:eastAsia="宋体" w:cs="宋体"/>
          <w:color w:val="auto"/>
          <w:sz w:val="24"/>
          <w:szCs w:val="24"/>
          <w:highlight w:val="none"/>
          <w:shd w:val="clear" w:color="auto" w:fill="auto"/>
          <w:lang w:eastAsia="zh-CN"/>
        </w:rPr>
        <w:t>参加</w:t>
      </w:r>
      <w:r>
        <w:rPr>
          <w:rFonts w:hint="eastAsia" w:ascii="宋体" w:hAnsi="宋体" w:eastAsia="宋体" w:cs="宋体"/>
          <w:color w:val="auto"/>
          <w:sz w:val="24"/>
          <w:szCs w:val="24"/>
          <w:highlight w:val="none"/>
          <w:u w:val="single"/>
          <w:shd w:val="clear" w:color="auto" w:fill="auto"/>
          <w:lang w:val="en-US" w:eastAsia="zh-CN"/>
        </w:rPr>
        <w:t>（单位名称）</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u w:val="single"/>
          <w:shd w:val="clear" w:color="auto" w:fill="auto"/>
          <w:lang w:val="en-US" w:eastAsia="zh-CN"/>
        </w:rPr>
        <w:t>（项目名称）</w:t>
      </w:r>
      <w:r>
        <w:rPr>
          <w:rFonts w:hint="eastAsia" w:ascii="宋体" w:hAnsi="宋体" w:eastAsia="宋体" w:cs="宋体"/>
          <w:color w:val="auto"/>
          <w:sz w:val="24"/>
          <w:szCs w:val="24"/>
          <w:highlight w:val="none"/>
          <w:shd w:val="clear" w:color="auto" w:fill="auto"/>
          <w:lang w:val="en-US" w:eastAsia="zh-CN"/>
        </w:rPr>
        <w:t>采购活动，服务全部由符合政策要求的中小企业承接。相关企业的具体情况如下：</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u w:val="single"/>
          <w:shd w:val="clear" w:color="auto" w:fill="auto"/>
          <w:lang w:val="en-US" w:eastAsia="zh-CN"/>
        </w:rPr>
        <w:t>（标的名称）</w:t>
      </w:r>
      <w:r>
        <w:rPr>
          <w:rFonts w:hint="eastAsia" w:ascii="宋体" w:hAnsi="宋体" w:eastAsia="宋体" w:cs="宋体"/>
          <w:color w:val="auto"/>
          <w:sz w:val="24"/>
          <w:szCs w:val="24"/>
          <w:highlight w:val="none"/>
          <w:shd w:val="clear" w:color="auto" w:fill="auto"/>
          <w:lang w:val="en-US" w:eastAsia="zh-CN"/>
        </w:rPr>
        <w:t>，属于</w:t>
      </w:r>
      <w:r>
        <w:rPr>
          <w:rFonts w:hint="eastAsia" w:ascii="宋体" w:hAnsi="宋体" w:eastAsia="宋体" w:cs="宋体"/>
          <w:color w:val="auto"/>
          <w:sz w:val="24"/>
          <w:szCs w:val="24"/>
          <w:highlight w:val="none"/>
          <w:u w:val="single"/>
          <w:shd w:val="clear" w:color="auto" w:fill="auto"/>
          <w:lang w:val="en-US" w:eastAsia="zh-CN"/>
        </w:rPr>
        <w:t>（采购文件中明确的所属行业）</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u w:val="none"/>
          <w:shd w:val="clear" w:color="auto" w:fill="auto"/>
          <w:lang w:val="en-US" w:eastAsia="zh-CN"/>
        </w:rPr>
        <w:t>承接企业</w:t>
      </w:r>
      <w:r>
        <w:rPr>
          <w:rFonts w:hint="eastAsia" w:ascii="宋体" w:hAnsi="宋体" w:eastAsia="宋体" w:cs="宋体"/>
          <w:color w:val="auto"/>
          <w:sz w:val="24"/>
          <w:szCs w:val="24"/>
          <w:highlight w:val="none"/>
          <w:shd w:val="clear" w:color="auto" w:fill="auto"/>
          <w:lang w:val="en-US" w:eastAsia="zh-CN"/>
        </w:rPr>
        <w:t>为</w:t>
      </w:r>
      <w:r>
        <w:rPr>
          <w:rFonts w:hint="eastAsia" w:ascii="宋体" w:hAnsi="宋体" w:eastAsia="宋体" w:cs="宋体"/>
          <w:color w:val="auto"/>
          <w:sz w:val="24"/>
          <w:szCs w:val="24"/>
          <w:highlight w:val="none"/>
          <w:u w:val="single"/>
          <w:shd w:val="clear" w:color="auto" w:fill="auto"/>
          <w:lang w:val="en-US" w:eastAsia="zh-CN"/>
        </w:rPr>
        <w:t>（企业名称）</w:t>
      </w:r>
      <w:r>
        <w:rPr>
          <w:rFonts w:hint="eastAsia" w:ascii="宋体" w:hAnsi="宋体" w:eastAsia="宋体" w:cs="宋体"/>
          <w:color w:val="auto"/>
          <w:sz w:val="24"/>
          <w:szCs w:val="24"/>
          <w:highlight w:val="none"/>
          <w:shd w:val="clear" w:color="auto" w:fill="auto"/>
          <w:lang w:val="en-US" w:eastAsia="zh-CN"/>
        </w:rPr>
        <w:t>，从业人员</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人，营业收入为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万元，资产总额为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万元，属于</w:t>
      </w:r>
      <w:r>
        <w:rPr>
          <w:rFonts w:hint="eastAsia" w:ascii="宋体" w:hAnsi="宋体" w:eastAsia="宋体" w:cs="宋体"/>
          <w:color w:val="auto"/>
          <w:sz w:val="24"/>
          <w:szCs w:val="24"/>
          <w:highlight w:val="none"/>
          <w:u w:val="single"/>
          <w:shd w:val="clear" w:color="auto" w:fill="auto"/>
          <w:lang w:val="en-US" w:eastAsia="zh-CN"/>
        </w:rPr>
        <w:t>（中型企业小型企业微型企业）</w:t>
      </w:r>
      <w:r>
        <w:rPr>
          <w:rFonts w:hint="eastAsia" w:ascii="宋体" w:hAnsi="宋体" w:eastAsia="宋体" w:cs="宋体"/>
          <w:color w:val="auto"/>
          <w:sz w:val="24"/>
          <w:szCs w:val="24"/>
          <w:highlight w:val="none"/>
          <w:shd w:val="clear" w:color="auto" w:fill="auto"/>
          <w:lang w:val="en-US" w:eastAsia="zh-CN"/>
        </w:rPr>
        <w:t>；</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u w:val="single"/>
          <w:shd w:val="clear" w:color="auto" w:fill="auto"/>
          <w:lang w:val="en-US" w:eastAsia="zh-CN"/>
        </w:rPr>
        <w:t>（标的名称）</w:t>
      </w:r>
      <w:r>
        <w:rPr>
          <w:rFonts w:hint="eastAsia" w:ascii="宋体" w:hAnsi="宋体" w:eastAsia="宋体" w:cs="宋体"/>
          <w:color w:val="auto"/>
          <w:sz w:val="24"/>
          <w:szCs w:val="24"/>
          <w:highlight w:val="none"/>
          <w:shd w:val="clear" w:color="auto" w:fill="auto"/>
          <w:lang w:val="en-US" w:eastAsia="zh-CN"/>
        </w:rPr>
        <w:t>，属于</w:t>
      </w:r>
      <w:r>
        <w:rPr>
          <w:rFonts w:hint="eastAsia" w:ascii="宋体" w:hAnsi="宋体" w:eastAsia="宋体" w:cs="宋体"/>
          <w:color w:val="auto"/>
          <w:sz w:val="24"/>
          <w:szCs w:val="24"/>
          <w:highlight w:val="none"/>
          <w:u w:val="single"/>
          <w:shd w:val="clear" w:color="auto" w:fill="auto"/>
          <w:lang w:val="en-US" w:eastAsia="zh-CN"/>
        </w:rPr>
        <w:t>（采购文件中明确的所属行业）</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u w:val="none"/>
          <w:shd w:val="clear" w:color="auto" w:fill="auto"/>
          <w:lang w:val="en-US" w:eastAsia="zh-CN"/>
        </w:rPr>
        <w:t>承接企业</w:t>
      </w:r>
      <w:r>
        <w:rPr>
          <w:rFonts w:hint="eastAsia" w:ascii="宋体" w:hAnsi="宋体" w:eastAsia="宋体" w:cs="宋体"/>
          <w:color w:val="auto"/>
          <w:sz w:val="24"/>
          <w:szCs w:val="24"/>
          <w:highlight w:val="none"/>
          <w:shd w:val="clear" w:color="auto" w:fill="auto"/>
          <w:lang w:val="en-US" w:eastAsia="zh-CN"/>
        </w:rPr>
        <w:t>为</w:t>
      </w:r>
      <w:r>
        <w:rPr>
          <w:rFonts w:hint="eastAsia" w:ascii="宋体" w:hAnsi="宋体" w:eastAsia="宋体" w:cs="宋体"/>
          <w:color w:val="auto"/>
          <w:sz w:val="24"/>
          <w:szCs w:val="24"/>
          <w:highlight w:val="none"/>
          <w:u w:val="single"/>
          <w:shd w:val="clear" w:color="auto" w:fill="auto"/>
          <w:lang w:val="en-US" w:eastAsia="zh-CN"/>
        </w:rPr>
        <w:t>（企业名称）</w:t>
      </w:r>
      <w:r>
        <w:rPr>
          <w:rFonts w:hint="eastAsia" w:ascii="宋体" w:hAnsi="宋体" w:eastAsia="宋体" w:cs="宋体"/>
          <w:color w:val="auto"/>
          <w:sz w:val="24"/>
          <w:szCs w:val="24"/>
          <w:highlight w:val="none"/>
          <w:shd w:val="clear" w:color="auto" w:fill="auto"/>
          <w:lang w:val="en-US" w:eastAsia="zh-CN"/>
        </w:rPr>
        <w:t>，从业人员</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人，营业收入为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万元，资产总额为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万元，属于</w:t>
      </w:r>
      <w:r>
        <w:rPr>
          <w:rFonts w:hint="eastAsia" w:ascii="宋体" w:hAnsi="宋体" w:eastAsia="宋体" w:cs="宋体"/>
          <w:color w:val="auto"/>
          <w:sz w:val="24"/>
          <w:szCs w:val="24"/>
          <w:highlight w:val="none"/>
          <w:u w:val="single"/>
          <w:shd w:val="clear" w:color="auto" w:fill="auto"/>
          <w:lang w:val="en-US" w:eastAsia="zh-CN"/>
        </w:rPr>
        <w:t>（中型企业小型企业微型企业）</w:t>
      </w:r>
      <w:r>
        <w:rPr>
          <w:rFonts w:hint="eastAsia" w:ascii="宋体" w:hAnsi="宋体" w:eastAsia="宋体" w:cs="宋体"/>
          <w:color w:val="auto"/>
          <w:sz w:val="24"/>
          <w:szCs w:val="24"/>
          <w:highlight w:val="none"/>
          <w:shd w:val="clear" w:color="auto" w:fill="auto"/>
          <w:lang w:val="en-US" w:eastAsia="zh-CN"/>
        </w:rPr>
        <w:t>；</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以上企业，不属于大企业的分支机构，不存在控股股东为大企业的情形，也不存在与大企业的负责人为同一人的情形。</w:t>
      </w:r>
    </w:p>
    <w:p>
      <w:pPr>
        <w:pStyle w:val="17"/>
        <w:pageBreakBefore w:val="0"/>
        <w:widowControl w:val="0"/>
        <w:kinsoku/>
        <w:wordWrap/>
        <w:overflowPunct/>
        <w:topLinePunct w:val="0"/>
        <w:autoSpaceDE/>
        <w:autoSpaceDN/>
        <w:bidi w:val="0"/>
        <w:adjustRightInd/>
        <w:snapToGrid w:val="0"/>
        <w:spacing w:line="360" w:lineRule="auto"/>
        <w:ind w:left="479" w:leftChars="228" w:right="0" w:rightChars="0" w:firstLine="0" w:firstLineChars="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本公司对上述声明的真实性负责。如有虚假，将依法承担相应责任。</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企业名称</w:t>
      </w:r>
      <w:r>
        <w:rPr>
          <w:rFonts w:hint="eastAsia" w:ascii="宋体" w:hAnsi="宋体" w:eastAsia="宋体" w:cs="宋体"/>
          <w:color w:val="auto"/>
          <w:sz w:val="24"/>
          <w:szCs w:val="24"/>
          <w:highlight w:val="none"/>
          <w:shd w:val="clear" w:color="auto" w:fill="auto"/>
          <w:lang w:eastAsia="zh-CN"/>
        </w:rPr>
        <w:t>（盖章）</w:t>
      </w:r>
      <w:r>
        <w:rPr>
          <w:rFonts w:hint="eastAsia" w:ascii="宋体" w:hAnsi="宋体" w:eastAsia="宋体" w:cs="宋体"/>
          <w:color w:val="auto"/>
          <w:sz w:val="24"/>
          <w:szCs w:val="24"/>
          <w:highlight w:val="none"/>
          <w:shd w:val="clear" w:color="auto" w:fill="auto"/>
        </w:rPr>
        <w:t>：________</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日期：________________</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填写前请认真阅读《工业和信息化部、国家统计局、国家发展和改革委员会、财政部关于印发中小企业划型标准规定的通知》(工信部联企业〔2011〕300号)</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《政府采购促进中小企业发展暂行办法》(财库〔20</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46</w:t>
      </w:r>
      <w:r>
        <w:rPr>
          <w:rFonts w:hint="eastAsia" w:ascii="宋体" w:hAnsi="宋体" w:eastAsia="宋体" w:cs="宋体"/>
          <w:color w:val="auto"/>
          <w:sz w:val="21"/>
          <w:szCs w:val="21"/>
          <w:highlight w:val="none"/>
          <w:shd w:val="clear" w:color="auto" w:fill="auto"/>
        </w:rPr>
        <w:t>号)相关规定。</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后附</w:t>
      </w:r>
      <w:r>
        <w:rPr>
          <w:rFonts w:hint="eastAsia" w:ascii="宋体" w:hAnsi="宋体" w:eastAsia="宋体" w:cs="宋体"/>
          <w:color w:val="auto"/>
          <w:sz w:val="21"/>
          <w:szCs w:val="21"/>
          <w:highlight w:val="none"/>
          <w:shd w:val="clear" w:color="auto" w:fill="auto"/>
          <w:lang w:eastAsia="zh-CN"/>
        </w:rPr>
        <w:t>国家企业信用公示系统小微企业名录截图</w:t>
      </w:r>
      <w:r>
        <w:rPr>
          <w:rFonts w:hint="eastAsia" w:ascii="宋体" w:hAnsi="宋体" w:eastAsia="宋体" w:cs="宋体"/>
          <w:color w:val="auto"/>
          <w:sz w:val="21"/>
          <w:szCs w:val="21"/>
          <w:highlight w:val="none"/>
          <w:shd w:val="clear" w:color="auto" w:fill="auto"/>
        </w:rPr>
        <w:t>复印件</w:t>
      </w:r>
      <w:r>
        <w:rPr>
          <w:rFonts w:hint="eastAsia" w:ascii="宋体" w:hAnsi="宋体" w:eastAsia="宋体" w:cs="宋体"/>
          <w:color w:val="auto"/>
          <w:sz w:val="21"/>
          <w:szCs w:val="21"/>
          <w:highlight w:val="none"/>
          <w:shd w:val="clear" w:color="auto" w:fill="auto"/>
          <w:lang w:eastAsia="zh-CN"/>
        </w:rPr>
        <w:t>，并加盖公章。</w:t>
      </w:r>
    </w:p>
    <w:p>
      <w:pPr>
        <w:pStyle w:val="17"/>
        <w:pageBreakBefore w:val="0"/>
        <w:widowControl w:val="0"/>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1"/>
          <w:szCs w:val="21"/>
          <w:highlight w:val="none"/>
          <w:shd w:val="clear" w:color="auto" w:fill="auto"/>
          <w:lang w:val="en-US" w:eastAsia="zh-CN"/>
        </w:rPr>
        <w:t>（3）从业人员、营业收入、资产总额填报上一年度数据，无上一年度数据的新成立企业可不填报。</w:t>
      </w:r>
    </w:p>
    <w:p>
      <w:pPr>
        <w:rPr>
          <w:rFonts w:hint="eastAsia" w:ascii="宋体" w:hAnsi="宋体" w:eastAsia="宋体" w:cs="宋体"/>
          <w:color w:val="auto"/>
          <w:highlight w:val="none"/>
        </w:rPr>
      </w:pP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7"/>
        <w:keepNext w:val="0"/>
        <w:keepLines w:val="0"/>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val="0"/>
          <w:bCs w:val="0"/>
          <w:color w:val="auto"/>
          <w:sz w:val="24"/>
          <w:szCs w:val="24"/>
          <w:highlight w:val="none"/>
        </w:rPr>
        <w:t>附件八：残疾人福利性单位声明函（如有时）</w:t>
      </w:r>
    </w:p>
    <w:p>
      <w:pPr>
        <w:spacing w:line="360" w:lineRule="auto"/>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残疾人福利性单位声明函</w:t>
      </w:r>
    </w:p>
    <w:p>
      <w:pPr>
        <w:spacing w:line="360" w:lineRule="auto"/>
        <w:jc w:val="center"/>
        <w:rPr>
          <w:rFonts w:hint="eastAsia" w:ascii="宋体" w:hAnsi="宋体" w:eastAsia="宋体" w:cs="宋体"/>
          <w:color w:val="auto"/>
          <w:sz w:val="24"/>
          <w:szCs w:val="24"/>
          <w:highlight w:val="none"/>
        </w:rPr>
      </w:pPr>
    </w:p>
    <w:p>
      <w:pPr>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用非残疾人福利性单位注册商标的货物）。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单位名称：（盖章）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pPr>
        <w:pStyle w:val="46"/>
        <w:spacing w:line="240" w:lineRule="auto"/>
        <w:jc w:val="both"/>
        <w:rPr>
          <w:rFonts w:hint="eastAsia" w:ascii="宋体" w:hAnsi="宋体" w:eastAsia="宋体" w:cs="宋体"/>
          <w:color w:val="auto"/>
          <w:highlight w:val="none"/>
        </w:rPr>
      </w:pPr>
    </w:p>
    <w:p>
      <w:pPr>
        <w:pStyle w:val="46"/>
        <w:spacing w:line="240" w:lineRule="auto"/>
        <w:ind w:firstLine="723" w:firstLineChars="300"/>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（供应商不是残疾人福利性单位，不享受政府采购该项政策，可不填写本页）</w:t>
      </w:r>
    </w:p>
    <w:p>
      <w:pPr>
        <w:pStyle w:val="46"/>
        <w:tabs>
          <w:tab w:val="left" w:pos="720"/>
        </w:tabs>
        <w:spacing w:line="240" w:lineRule="auto"/>
        <w:jc w:val="both"/>
        <w:rPr>
          <w:rFonts w:hint="eastAsia" w:ascii="宋体" w:hAnsi="宋体" w:eastAsia="宋体" w:cs="宋体"/>
          <w:color w:val="auto"/>
          <w:highlight w:val="none"/>
        </w:rPr>
      </w:pPr>
    </w:p>
    <w:p>
      <w:pPr>
        <w:pStyle w:val="7"/>
        <w:keepNext w:val="0"/>
        <w:keepLines w:val="0"/>
        <w:ind w:firstLine="482"/>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val="0"/>
          <w:bCs/>
          <w:color w:val="auto"/>
          <w:sz w:val="24"/>
          <w:highlight w:val="none"/>
        </w:rPr>
        <w:t>附件九：监狱企业证明文件（如有时）</w:t>
      </w:r>
    </w:p>
    <w:p>
      <w:pPr>
        <w:pStyle w:val="46"/>
        <w:tabs>
          <w:tab w:val="left" w:pos="720"/>
        </w:tabs>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监狱企业证明文件</w:t>
      </w:r>
    </w:p>
    <w:p>
      <w:pPr>
        <w:pStyle w:val="46"/>
        <w:tabs>
          <w:tab w:val="left" w:pos="720"/>
        </w:tabs>
        <w:spacing w:line="240" w:lineRule="auto"/>
        <w:rPr>
          <w:rFonts w:hint="eastAsia" w:ascii="宋体" w:hAnsi="宋体" w:eastAsia="宋体" w:cs="宋体"/>
          <w:color w:val="auto"/>
          <w:sz w:val="24"/>
          <w:highlight w:val="none"/>
        </w:rPr>
      </w:pPr>
    </w:p>
    <w:p>
      <w:pPr>
        <w:pStyle w:val="46"/>
        <w:tabs>
          <w:tab w:val="left" w:pos="720"/>
        </w:tabs>
        <w:spacing w:line="360" w:lineRule="auto"/>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监狱企业是指由司法部认定的为罪犯、戒毒人员提供生产项目和劳动对象，且全部</w:t>
      </w:r>
    </w:p>
    <w:p>
      <w:pPr>
        <w:pStyle w:val="46"/>
        <w:tabs>
          <w:tab w:val="left" w:pos="720"/>
        </w:tabs>
        <w:spacing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产权属于司法部监狱管理局、戒毒管理局、直属煤矿管理局，各省、自治区、直辖市监</w:t>
      </w:r>
    </w:p>
    <w:p>
      <w:pPr>
        <w:pStyle w:val="46"/>
        <w:tabs>
          <w:tab w:val="left" w:pos="720"/>
        </w:tabs>
        <w:spacing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狱管理局、戒毒管理局，各地（设区的市）监狱、强制隔离戒毒所、戒毒康复所，以及</w:t>
      </w:r>
    </w:p>
    <w:p>
      <w:pPr>
        <w:pStyle w:val="46"/>
        <w:tabs>
          <w:tab w:val="left" w:pos="720"/>
        </w:tabs>
        <w:spacing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新疆生产建设兵团监狱管理局、戒毒管理局的企业。监狱企业参加政府采购活动时，应</w:t>
      </w:r>
    </w:p>
    <w:p>
      <w:pPr>
        <w:pStyle w:val="46"/>
        <w:tabs>
          <w:tab w:val="left" w:pos="720"/>
        </w:tabs>
        <w:spacing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当提供由省级以上监狱管理局、戒毒管理局（含新疆生产建设兵团）出具的属于监狱企</w:t>
      </w:r>
    </w:p>
    <w:p>
      <w:pPr>
        <w:pStyle w:val="46"/>
        <w:tabs>
          <w:tab w:val="left" w:pos="720"/>
        </w:tabs>
        <w:spacing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业的证明文件。</w:t>
      </w:r>
    </w:p>
    <w:p>
      <w:pPr>
        <w:pStyle w:val="46"/>
        <w:tabs>
          <w:tab w:val="left" w:pos="720"/>
        </w:tabs>
        <w:spacing w:line="360" w:lineRule="auto"/>
        <w:jc w:val="both"/>
        <w:rPr>
          <w:rFonts w:hint="eastAsia" w:ascii="宋体" w:hAnsi="宋体" w:eastAsia="宋体" w:cs="宋体"/>
          <w:color w:val="auto"/>
          <w:sz w:val="24"/>
          <w:highlight w:val="none"/>
        </w:rPr>
      </w:pPr>
    </w:p>
    <w:p>
      <w:pPr>
        <w:pStyle w:val="46"/>
        <w:tabs>
          <w:tab w:val="left" w:pos="720"/>
        </w:tabs>
        <w:spacing w:line="360" w:lineRule="auto"/>
        <w:ind w:firstLine="3600" w:firstLineChars="15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单位名称：（盖章）</w:t>
      </w:r>
    </w:p>
    <w:p>
      <w:pPr>
        <w:pStyle w:val="46"/>
        <w:tabs>
          <w:tab w:val="left" w:pos="720"/>
        </w:tabs>
        <w:spacing w:line="360" w:lineRule="auto"/>
        <w:ind w:firstLine="3600" w:firstLineChars="15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日    期：</w:t>
      </w:r>
    </w:p>
    <w:p>
      <w:pPr>
        <w:pStyle w:val="17"/>
        <w:snapToGrid w:val="0"/>
        <w:spacing w:line="360" w:lineRule="auto"/>
        <w:jc w:val="center"/>
        <w:rPr>
          <w:rFonts w:hint="eastAsia" w:ascii="宋体" w:hAnsi="宋体" w:eastAsia="宋体" w:cs="宋体"/>
          <w:color w:val="auto"/>
          <w:sz w:val="24"/>
          <w:szCs w:val="24"/>
          <w:highlight w:val="none"/>
        </w:rPr>
      </w:pPr>
    </w:p>
    <w:p>
      <w:pPr>
        <w:pStyle w:val="17"/>
        <w:snapToGrid w:val="0"/>
        <w:spacing w:line="360" w:lineRule="auto"/>
        <w:jc w:val="center"/>
        <w:rPr>
          <w:rFonts w:hint="eastAsia" w:ascii="宋体" w:hAnsi="宋体" w:eastAsia="宋体" w:cs="宋体"/>
          <w:color w:val="auto"/>
          <w:sz w:val="24"/>
          <w:szCs w:val="24"/>
          <w:highlight w:val="none"/>
        </w:rPr>
      </w:pPr>
    </w:p>
    <w:p>
      <w:pPr>
        <w:pStyle w:val="17"/>
        <w:snapToGrid w:val="0"/>
        <w:spacing w:line="360" w:lineRule="auto"/>
        <w:jc w:val="center"/>
        <w:rPr>
          <w:rFonts w:hint="eastAsia" w:ascii="宋体" w:hAnsi="宋体" w:eastAsia="宋体" w:cs="宋体"/>
          <w:color w:val="auto"/>
          <w:sz w:val="24"/>
          <w:szCs w:val="24"/>
          <w:highlight w:val="none"/>
        </w:rPr>
      </w:pPr>
    </w:p>
    <w:p>
      <w:pPr>
        <w:pStyle w:val="17"/>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（供应商不是监狱企业，不享受政府采购该项政策，可不填写本页）</w:t>
      </w:r>
    </w:p>
    <w:p>
      <w:pPr>
        <w:spacing w:line="500" w:lineRule="exact"/>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根据《关于促进残疾人就业政府采购政策的通知》财库〔2017〕141号文件规定，对于被认定为享受政府采购支持政策的残疾人福利性单位，在政府采购活动中，残疾人福利性单位视同小型、微型企业，享受预留份额、评审中价格扣除等促进中小企业发展的政府采购政策，向残疾人福利单位采购的金额，计入面向中小企业采购的统计数据。</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2）残疾人福利性单位属于小型、微型企业的，不重复享受政策。</w:t>
      </w:r>
    </w:p>
    <w:p>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3）符合条件的残疾人福利性单位在参加政府采购活动时，提供本《残疾人福利性单位声明函供应商》，并对声明的真实性负责。提供的《残疾人福利性单位声明函》与事实不符的，将承担相应的法律责任。</w:t>
      </w:r>
    </w:p>
    <w:p>
      <w:pPr>
        <w:pStyle w:val="6"/>
        <w:bidi w:val="0"/>
        <w:ind w:firstLine="1928" w:firstLineChars="800"/>
        <w:outlineLvl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供应商认为需提供的其他材料</w:t>
      </w:r>
      <w:r>
        <w:rPr>
          <w:rFonts w:hint="eastAsia" w:ascii="宋体" w:hAnsi="宋体" w:cs="宋体"/>
          <w:color w:val="auto"/>
          <w:sz w:val="24"/>
          <w:szCs w:val="24"/>
          <w:highlight w:val="none"/>
          <w:lang w:eastAsia="zh-CN"/>
        </w:rPr>
        <w:t>（如有时）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spacing w:line="360" w:lineRule="auto"/>
        <w:rPr>
          <w:rFonts w:hint="eastAsia" w:ascii="宋体" w:hAnsi="宋体" w:eastAsia="宋体" w:cs="宋体"/>
          <w:color w:val="auto"/>
          <w:szCs w:val="22"/>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firstLine="723" w:firstLineChars="200"/>
        <w:jc w:val="center"/>
        <w:textAlignment w:val="auto"/>
        <w:rPr>
          <w:rFonts w:hint="eastAsia" w:ascii="宋体" w:hAnsi="宋体" w:eastAsia="宋体" w:cs="宋体"/>
          <w:b/>
          <w:bCs/>
          <w:color w:val="auto"/>
          <w:kern w:val="2"/>
          <w:sz w:val="36"/>
          <w:szCs w:val="36"/>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firstLine="723" w:firstLineChars="200"/>
        <w:jc w:val="center"/>
        <w:textAlignment w:val="auto"/>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第二部分 技术部分</w:t>
      </w:r>
    </w:p>
    <w:p>
      <w:pPr>
        <w:pStyle w:val="25"/>
        <w:jc w:val="center"/>
        <w:outlineLvl w:val="1"/>
        <w:rPr>
          <w:rFonts w:hint="eastAsia" w:ascii="宋体" w:hAnsi="宋体" w:eastAsia="宋体" w:cs="宋体"/>
          <w:sz w:val="30"/>
          <w:szCs w:val="30"/>
          <w:highlight w:val="none"/>
        </w:rPr>
      </w:pPr>
      <w:r>
        <w:rPr>
          <w:rFonts w:hint="eastAsia" w:ascii="宋体" w:hAnsi="宋体" w:eastAsia="宋体" w:cs="宋体"/>
          <w:color w:val="auto"/>
          <w:kern w:val="0"/>
          <w:sz w:val="30"/>
          <w:szCs w:val="30"/>
          <w:highlight w:val="none"/>
          <w:shd w:val="clear" w:color="auto" w:fill="FFFFFF"/>
        </w:rPr>
        <w:t xml:space="preserve">第六章  </w:t>
      </w:r>
      <w:r>
        <w:rPr>
          <w:rFonts w:hint="eastAsia" w:ascii="宋体" w:hAnsi="宋体" w:eastAsia="宋体" w:cs="宋体"/>
          <w:bCs/>
          <w:color w:val="auto"/>
          <w:spacing w:val="8"/>
          <w:sz w:val="30"/>
          <w:szCs w:val="30"/>
          <w:highlight w:val="none"/>
        </w:rPr>
        <w:t>项 目 需 求</w:t>
      </w:r>
    </w:p>
    <w:p>
      <w:pPr>
        <w:pStyle w:val="52"/>
        <w:spacing w:before="0" w:after="0" w:line="400" w:lineRule="exact"/>
        <w:ind w:firstLine="478" w:firstLineChars="196"/>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一、项目概况：</w:t>
      </w:r>
    </w:p>
    <w:p>
      <w:pPr>
        <w:pStyle w:val="52"/>
        <w:spacing w:before="0" w:after="0" w:line="400" w:lineRule="exact"/>
        <w:ind w:firstLine="488"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（一）基本情况：通过公开招标的方式向社会遴选</w:t>
      </w:r>
      <w:r>
        <w:rPr>
          <w:rFonts w:hint="eastAsia" w:ascii="宋体" w:hAnsi="宋体" w:eastAsia="宋体" w:cs="宋体"/>
          <w:b w:val="0"/>
          <w:bCs/>
          <w:sz w:val="24"/>
          <w:szCs w:val="24"/>
          <w:highlight w:val="none"/>
          <w:lang w:eastAsia="zh-CN"/>
        </w:rPr>
        <w:t>我市</w:t>
      </w:r>
      <w:r>
        <w:rPr>
          <w:rFonts w:hint="eastAsia" w:ascii="宋体" w:hAnsi="宋体" w:eastAsia="宋体" w:cs="宋体"/>
          <w:b w:val="0"/>
          <w:bCs/>
          <w:sz w:val="24"/>
          <w:szCs w:val="24"/>
          <w:highlight w:val="none"/>
        </w:rPr>
        <w:t>康复辅助器具社区租赁服务的综合</w:t>
      </w:r>
      <w:r>
        <w:rPr>
          <w:rFonts w:hint="eastAsia" w:ascii="宋体" w:hAnsi="宋体" w:eastAsia="宋体" w:cs="宋体"/>
          <w:b w:val="0"/>
          <w:bCs/>
          <w:sz w:val="24"/>
          <w:szCs w:val="24"/>
          <w:highlight w:val="none"/>
          <w:lang w:eastAsia="zh-CN"/>
        </w:rPr>
        <w:t>运营</w:t>
      </w:r>
      <w:r>
        <w:rPr>
          <w:rFonts w:hint="eastAsia" w:ascii="宋体" w:hAnsi="宋体" w:eastAsia="宋体" w:cs="宋体"/>
          <w:b w:val="0"/>
          <w:bCs/>
          <w:sz w:val="24"/>
          <w:szCs w:val="24"/>
          <w:highlight w:val="none"/>
        </w:rPr>
        <w:t>服务商。服务商在</w:t>
      </w:r>
      <w:r>
        <w:rPr>
          <w:rFonts w:hint="eastAsia" w:ascii="宋体" w:hAnsi="宋体" w:eastAsia="宋体" w:cs="宋体"/>
          <w:b w:val="0"/>
          <w:bCs/>
          <w:sz w:val="24"/>
          <w:szCs w:val="24"/>
          <w:highlight w:val="none"/>
          <w:lang w:eastAsia="zh-CN"/>
        </w:rPr>
        <w:t>秦皇岛市</w:t>
      </w:r>
      <w:r>
        <w:rPr>
          <w:rFonts w:hint="eastAsia" w:ascii="宋体" w:hAnsi="宋体" w:eastAsia="宋体" w:cs="宋体"/>
          <w:b w:val="0"/>
          <w:bCs/>
          <w:sz w:val="24"/>
          <w:szCs w:val="24"/>
          <w:highlight w:val="none"/>
        </w:rPr>
        <w:t>民政局的指导和监督下，</w:t>
      </w:r>
      <w:r>
        <w:rPr>
          <w:rFonts w:hint="eastAsia" w:ascii="宋体" w:hAnsi="宋体" w:eastAsia="宋体" w:cs="宋体"/>
          <w:b w:val="0"/>
          <w:bCs/>
          <w:sz w:val="24"/>
          <w:szCs w:val="24"/>
          <w:highlight w:val="none"/>
          <w:lang w:eastAsia="zh-CN"/>
        </w:rPr>
        <w:t>开展康复辅助器具社区租赁服务，对符合</w:t>
      </w:r>
      <w:r>
        <w:rPr>
          <w:rFonts w:hint="eastAsia" w:ascii="宋体" w:hAnsi="宋体" w:eastAsia="宋体" w:cs="宋体"/>
          <w:b w:val="0"/>
          <w:bCs/>
          <w:sz w:val="24"/>
          <w:szCs w:val="24"/>
          <w:highlight w:val="none"/>
          <w:lang w:val="en-US" w:eastAsia="zh-CN"/>
        </w:rPr>
        <w:t>条件的人员实施租赁补贴申报和发放</w:t>
      </w:r>
      <w:r>
        <w:rPr>
          <w:rFonts w:hint="eastAsia" w:ascii="宋体" w:hAnsi="宋体" w:eastAsia="宋体" w:cs="宋体"/>
          <w:b w:val="0"/>
          <w:bCs/>
          <w:sz w:val="24"/>
          <w:szCs w:val="24"/>
          <w:highlight w:val="none"/>
        </w:rPr>
        <w:t>。</w:t>
      </w:r>
    </w:p>
    <w:p>
      <w:pPr>
        <w:pStyle w:val="52"/>
        <w:spacing w:before="0" w:after="0" w:line="400" w:lineRule="exact"/>
        <w:ind w:firstLine="488"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（二）资金来源情况：</w:t>
      </w:r>
    </w:p>
    <w:p>
      <w:pPr>
        <w:pStyle w:val="52"/>
        <w:spacing w:before="0" w:after="0" w:line="400" w:lineRule="exact"/>
        <w:ind w:firstLine="488" w:firstLineChars="200"/>
        <w:jc w:val="left"/>
        <w:rPr>
          <w:rFonts w:hint="eastAsia" w:ascii="宋体" w:hAnsi="宋体" w:eastAsia="宋体" w:cs="宋体"/>
          <w:b w:val="0"/>
          <w:bCs/>
          <w:sz w:val="24"/>
          <w:szCs w:val="24"/>
          <w:highlight w:val="none"/>
          <w:lang w:val="en-US" w:eastAsia="en-US"/>
        </w:rPr>
      </w:pPr>
      <w:r>
        <w:rPr>
          <w:rFonts w:hint="eastAsia" w:ascii="宋体" w:hAnsi="宋体" w:eastAsia="宋体" w:cs="宋体"/>
          <w:b w:val="0"/>
          <w:bCs/>
          <w:sz w:val="24"/>
          <w:szCs w:val="24"/>
          <w:highlight w:val="none"/>
        </w:rPr>
        <w:t>1.本次采购</w:t>
      </w:r>
      <w:r>
        <w:rPr>
          <w:rFonts w:hint="eastAsia" w:ascii="宋体" w:hAnsi="宋体" w:eastAsia="宋体" w:cs="宋体"/>
          <w:b w:val="0"/>
          <w:bCs/>
          <w:sz w:val="24"/>
          <w:szCs w:val="24"/>
          <w:highlight w:val="none"/>
          <w:lang w:bidi="ar-SA"/>
        </w:rPr>
        <w:t>金额</w:t>
      </w:r>
      <w:r>
        <w:rPr>
          <w:rFonts w:hint="eastAsia" w:ascii="宋体" w:hAnsi="宋体" w:eastAsia="宋体" w:cs="宋体"/>
          <w:b w:val="0"/>
          <w:bCs/>
          <w:sz w:val="24"/>
          <w:szCs w:val="24"/>
          <w:highlight w:val="none"/>
          <w:u w:val="single"/>
          <w:lang w:bidi="ar-SA"/>
        </w:rPr>
        <w:t xml:space="preserve"> </w:t>
      </w:r>
      <w:r>
        <w:rPr>
          <w:rFonts w:hint="eastAsia" w:ascii="宋体" w:hAnsi="宋体" w:eastAsia="宋体" w:cs="宋体"/>
          <w:b w:val="0"/>
          <w:bCs/>
          <w:sz w:val="24"/>
          <w:szCs w:val="24"/>
          <w:highlight w:val="none"/>
          <w:u w:val="single"/>
          <w:lang w:val="en-US" w:eastAsia="zh-CN" w:bidi="ar-SA"/>
        </w:rPr>
        <w:t>100.00</w:t>
      </w:r>
      <w:r>
        <w:rPr>
          <w:rFonts w:hint="eastAsia" w:ascii="宋体" w:hAnsi="宋体" w:eastAsia="宋体" w:cs="宋体"/>
          <w:b w:val="0"/>
          <w:bCs/>
          <w:sz w:val="24"/>
          <w:szCs w:val="24"/>
          <w:highlight w:val="none"/>
          <w:u w:val="single"/>
          <w:lang w:bidi="ar-SA"/>
        </w:rPr>
        <w:t xml:space="preserve"> </w:t>
      </w:r>
      <w:r>
        <w:rPr>
          <w:rFonts w:hint="eastAsia" w:ascii="宋体" w:hAnsi="宋体" w:eastAsia="宋体" w:cs="宋体"/>
          <w:b w:val="0"/>
          <w:bCs/>
          <w:sz w:val="24"/>
          <w:szCs w:val="24"/>
          <w:highlight w:val="none"/>
          <w:lang w:bidi="ar-SA"/>
        </w:rPr>
        <w:t>万元；[</w:t>
      </w:r>
      <w:r>
        <w:rPr>
          <w:rFonts w:hint="eastAsia" w:ascii="宋体" w:hAnsi="宋体" w:eastAsia="宋体" w:cs="宋体"/>
          <w:b w:val="0"/>
          <w:bCs/>
          <w:sz w:val="24"/>
          <w:szCs w:val="24"/>
          <w:highlight w:val="none"/>
        </w:rPr>
        <w:t>其中：财政资金</w:t>
      </w:r>
      <w:r>
        <w:rPr>
          <w:rFonts w:hint="eastAsia" w:ascii="宋体" w:hAnsi="宋体" w:eastAsia="宋体" w:cs="宋体"/>
          <w:b w:val="0"/>
          <w:bCs/>
          <w:sz w:val="24"/>
          <w:szCs w:val="24"/>
          <w:highlight w:val="none"/>
          <w:u w:val="single"/>
          <w:lang w:val="en-US" w:eastAsia="en-US"/>
        </w:rPr>
        <w:t xml:space="preserve"> </w:t>
      </w:r>
      <w:r>
        <w:rPr>
          <w:rFonts w:hint="eastAsia" w:ascii="宋体" w:hAnsi="宋体" w:eastAsia="宋体" w:cs="宋体"/>
          <w:b w:val="0"/>
          <w:bCs/>
          <w:sz w:val="24"/>
          <w:szCs w:val="24"/>
          <w:highlight w:val="none"/>
          <w:u w:val="single"/>
          <w:lang w:val="en-US" w:eastAsia="zh-CN"/>
        </w:rPr>
        <w:t>100.00</w:t>
      </w:r>
      <w:r>
        <w:rPr>
          <w:rFonts w:hint="eastAsia" w:ascii="宋体" w:hAnsi="宋体" w:eastAsia="宋体" w:cs="宋体"/>
          <w:b w:val="0"/>
          <w:bCs/>
          <w:sz w:val="24"/>
          <w:szCs w:val="24"/>
          <w:highlight w:val="none"/>
          <w:u w:val="single"/>
          <w:lang w:val="en-US" w:eastAsia="en-US"/>
        </w:rPr>
        <w:t xml:space="preserve"> </w:t>
      </w:r>
      <w:r>
        <w:rPr>
          <w:rFonts w:hint="eastAsia" w:ascii="宋体" w:hAnsi="宋体" w:eastAsia="宋体" w:cs="宋体"/>
          <w:b w:val="0"/>
          <w:bCs/>
          <w:sz w:val="24"/>
          <w:szCs w:val="24"/>
          <w:highlight w:val="none"/>
          <w:lang w:bidi="ar-SA"/>
        </w:rPr>
        <w:t>万</w:t>
      </w:r>
      <w:r>
        <w:rPr>
          <w:rFonts w:hint="eastAsia" w:ascii="宋体" w:hAnsi="宋体" w:eastAsia="宋体" w:cs="宋体"/>
          <w:b w:val="0"/>
          <w:bCs/>
          <w:sz w:val="24"/>
          <w:szCs w:val="24"/>
          <w:highlight w:val="none"/>
        </w:rPr>
        <w:t>元</w:t>
      </w:r>
      <w:r>
        <w:rPr>
          <w:rFonts w:hint="eastAsia" w:ascii="宋体" w:hAnsi="宋体" w:eastAsia="宋体" w:cs="宋体"/>
          <w:b w:val="0"/>
          <w:bCs/>
          <w:sz w:val="24"/>
          <w:szCs w:val="24"/>
          <w:highlight w:val="none"/>
          <w:lang w:val="en-US" w:eastAsia="en-US"/>
        </w:rPr>
        <w:t>;</w:t>
      </w:r>
      <w:r>
        <w:rPr>
          <w:rFonts w:hint="eastAsia" w:ascii="宋体" w:hAnsi="宋体" w:eastAsia="宋体" w:cs="宋体"/>
          <w:b w:val="0"/>
          <w:bCs/>
          <w:sz w:val="24"/>
          <w:szCs w:val="24"/>
          <w:highlight w:val="none"/>
        </w:rPr>
        <w:t>自有资金</w:t>
      </w:r>
      <w:r>
        <w:rPr>
          <w:rFonts w:hint="eastAsia" w:ascii="宋体" w:hAnsi="宋体" w:eastAsia="宋体" w:cs="宋体"/>
          <w:b w:val="0"/>
          <w:bCs/>
          <w:sz w:val="24"/>
          <w:szCs w:val="24"/>
          <w:highlight w:val="none"/>
          <w:u w:val="single"/>
          <w:lang w:val="en-US" w:eastAsia="zh-CN"/>
        </w:rPr>
        <w:t>0.00</w:t>
      </w:r>
      <w:r>
        <w:rPr>
          <w:rFonts w:hint="eastAsia" w:ascii="宋体" w:hAnsi="宋体" w:eastAsia="宋体" w:cs="宋体"/>
          <w:b w:val="0"/>
          <w:bCs/>
          <w:sz w:val="24"/>
          <w:szCs w:val="24"/>
          <w:highlight w:val="none"/>
          <w:u w:val="single"/>
          <w:lang w:val="en-US" w:eastAsia="en-US"/>
        </w:rPr>
        <w:t xml:space="preserve"> </w:t>
      </w:r>
      <w:r>
        <w:rPr>
          <w:rFonts w:hint="eastAsia" w:ascii="宋体" w:hAnsi="宋体" w:eastAsia="宋体" w:cs="宋体"/>
          <w:b w:val="0"/>
          <w:bCs/>
          <w:sz w:val="24"/>
          <w:szCs w:val="24"/>
          <w:highlight w:val="none"/>
          <w:lang w:bidi="ar-SA"/>
        </w:rPr>
        <w:t>万</w:t>
      </w:r>
      <w:r>
        <w:rPr>
          <w:rFonts w:hint="eastAsia" w:ascii="宋体" w:hAnsi="宋体" w:eastAsia="宋体" w:cs="宋体"/>
          <w:b w:val="0"/>
          <w:bCs/>
          <w:sz w:val="24"/>
          <w:szCs w:val="24"/>
          <w:highlight w:val="none"/>
        </w:rPr>
        <w:t>元</w:t>
      </w:r>
      <w:r>
        <w:rPr>
          <w:rFonts w:hint="eastAsia" w:ascii="宋体" w:hAnsi="宋体" w:eastAsia="宋体" w:cs="宋体"/>
          <w:b w:val="0"/>
          <w:bCs/>
          <w:sz w:val="24"/>
          <w:szCs w:val="24"/>
          <w:highlight w:val="none"/>
          <w:lang w:val="en-US" w:eastAsia="en-US" w:bidi="ar-SA"/>
        </w:rPr>
        <w:t>;</w:t>
      </w:r>
      <w:r>
        <w:rPr>
          <w:rFonts w:hint="eastAsia" w:ascii="宋体" w:hAnsi="宋体" w:eastAsia="宋体" w:cs="宋体"/>
          <w:b w:val="0"/>
          <w:bCs/>
          <w:sz w:val="24"/>
          <w:szCs w:val="24"/>
          <w:highlight w:val="none"/>
          <w:lang w:bidi="ar-SA"/>
        </w:rPr>
        <w:t>需</w:t>
      </w:r>
      <w:r>
        <w:rPr>
          <w:rFonts w:hint="eastAsia" w:ascii="宋体" w:hAnsi="宋体" w:eastAsia="宋体" w:cs="宋体"/>
          <w:b w:val="0"/>
          <w:bCs/>
          <w:sz w:val="24"/>
          <w:szCs w:val="24"/>
          <w:highlight w:val="none"/>
        </w:rPr>
        <w:t>跨年安排资金</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0.00</w:t>
      </w:r>
      <w:r>
        <w:rPr>
          <w:rFonts w:hint="eastAsia" w:ascii="宋体" w:hAnsi="宋体" w:eastAsia="宋体" w:cs="宋体"/>
          <w:b w:val="0"/>
          <w:bCs/>
          <w:sz w:val="24"/>
          <w:szCs w:val="24"/>
          <w:highlight w:val="none"/>
          <w:u w:val="single"/>
          <w:lang w:val="en-US" w:eastAsia="en-US"/>
        </w:rPr>
        <w:t xml:space="preserve"> </w:t>
      </w:r>
      <w:r>
        <w:rPr>
          <w:rFonts w:hint="eastAsia" w:ascii="宋体" w:hAnsi="宋体" w:eastAsia="宋体" w:cs="宋体"/>
          <w:b w:val="0"/>
          <w:bCs/>
          <w:sz w:val="24"/>
          <w:szCs w:val="24"/>
          <w:highlight w:val="none"/>
          <w:lang w:bidi="ar-SA"/>
        </w:rPr>
        <w:t>万</w:t>
      </w:r>
      <w:r>
        <w:rPr>
          <w:rFonts w:hint="eastAsia" w:ascii="宋体" w:hAnsi="宋体" w:eastAsia="宋体" w:cs="宋体"/>
          <w:b w:val="0"/>
          <w:bCs/>
          <w:sz w:val="24"/>
          <w:szCs w:val="24"/>
          <w:highlight w:val="none"/>
        </w:rPr>
        <w:t>元</w:t>
      </w:r>
      <w:r>
        <w:rPr>
          <w:rFonts w:hint="eastAsia" w:ascii="宋体" w:hAnsi="宋体" w:eastAsia="宋体" w:cs="宋体"/>
          <w:b w:val="0"/>
          <w:bCs/>
          <w:sz w:val="24"/>
          <w:szCs w:val="24"/>
          <w:highlight w:val="none"/>
          <w:lang w:val="en-US" w:eastAsia="en-US"/>
        </w:rPr>
        <w:t xml:space="preserve"> </w:t>
      </w:r>
    </w:p>
    <w:p>
      <w:pPr>
        <w:adjustRightInd w:val="0"/>
        <w:snapToGrid w:val="0"/>
        <w:spacing w:line="400" w:lineRule="exact"/>
        <w:ind w:firstLine="488" w:firstLineChars="200"/>
        <w:jc w:val="left"/>
        <w:outlineLvl w:val="0"/>
        <w:rPr>
          <w:rFonts w:hint="eastAsia" w:ascii="宋体" w:hAnsi="宋体" w:eastAsia="宋体" w:cs="宋体"/>
          <w:b w:val="0"/>
          <w:bCs/>
          <w:sz w:val="24"/>
          <w:szCs w:val="24"/>
          <w:highlight w:val="none"/>
        </w:rPr>
      </w:pPr>
      <w:r>
        <w:rPr>
          <w:rFonts w:hint="eastAsia" w:ascii="宋体" w:hAnsi="宋体" w:eastAsia="宋体" w:cs="宋体"/>
          <w:b w:val="0"/>
          <w:bCs/>
          <w:spacing w:val="2"/>
          <w:sz w:val="24"/>
          <w:szCs w:val="24"/>
          <w:highlight w:val="none"/>
        </w:rPr>
        <w:t>（三）该项目（非）集中采购目录内容,</w:t>
      </w:r>
      <w:r>
        <w:rPr>
          <w:rFonts w:hint="eastAsia" w:ascii="宋体" w:hAnsi="宋体" w:eastAsia="宋体" w:cs="宋体"/>
          <w:b w:val="0"/>
          <w:bCs/>
          <w:spacing w:val="2"/>
          <w:sz w:val="24"/>
          <w:szCs w:val="24"/>
          <w:highlight w:val="none"/>
          <w:lang w:bidi="ar-SA"/>
        </w:rPr>
        <w:t>采购品目编码为</w:t>
      </w:r>
      <w:r>
        <w:rPr>
          <w:rFonts w:hint="eastAsia" w:ascii="宋体" w:hAnsi="宋体" w:eastAsia="宋体" w:cs="宋体"/>
          <w:b w:val="0"/>
          <w:bCs/>
          <w:spacing w:val="2"/>
          <w:sz w:val="24"/>
          <w:szCs w:val="24"/>
          <w:highlight w:val="none"/>
          <w:u w:val="single"/>
          <w:lang w:bidi="ar-SA"/>
        </w:rPr>
        <w:t xml:space="preserve"> </w:t>
      </w:r>
      <w:r>
        <w:rPr>
          <w:rFonts w:hint="eastAsia" w:ascii="宋体" w:hAnsi="宋体" w:eastAsia="宋体" w:cs="宋体"/>
          <w:b w:val="0"/>
          <w:bCs/>
          <w:spacing w:val="2"/>
          <w:sz w:val="24"/>
          <w:szCs w:val="24"/>
          <w:highlight w:val="none"/>
          <w:u w:val="single"/>
          <w:lang w:val="en-US" w:eastAsia="zh-CN" w:bidi="ar-SA"/>
        </w:rPr>
        <w:t>C05019900</w:t>
      </w:r>
      <w:r>
        <w:rPr>
          <w:rFonts w:hint="eastAsia" w:ascii="宋体" w:hAnsi="宋体" w:eastAsia="宋体" w:cs="宋体"/>
          <w:b w:val="0"/>
          <w:bCs/>
          <w:spacing w:val="2"/>
          <w:sz w:val="24"/>
          <w:szCs w:val="24"/>
          <w:highlight w:val="none"/>
          <w:u w:val="single"/>
          <w:lang w:bidi="ar-SA"/>
        </w:rPr>
        <w:t xml:space="preserve"> </w:t>
      </w:r>
      <w:r>
        <w:rPr>
          <w:rFonts w:hint="eastAsia" w:ascii="宋体" w:hAnsi="宋体" w:eastAsia="宋体" w:cs="宋体"/>
          <w:b w:val="0"/>
          <w:bCs/>
          <w:spacing w:val="2"/>
          <w:sz w:val="24"/>
          <w:szCs w:val="24"/>
          <w:highlight w:val="none"/>
        </w:rPr>
        <w:t>，拟委托</w:t>
      </w:r>
      <w:r>
        <w:rPr>
          <w:rFonts w:hint="eastAsia" w:ascii="宋体" w:hAnsi="宋体" w:eastAsia="宋体" w:cs="宋体"/>
          <w:b w:val="0"/>
          <w:bCs/>
          <w:spacing w:val="2"/>
          <w:sz w:val="24"/>
          <w:szCs w:val="24"/>
          <w:highlight w:val="none"/>
          <w:lang w:val="en-US" w:eastAsia="zh-CN"/>
        </w:rPr>
        <w:t xml:space="preserve"> </w:t>
      </w:r>
      <w:r>
        <w:rPr>
          <w:rFonts w:hint="eastAsia" w:ascii="宋体" w:hAnsi="宋体" w:eastAsia="宋体" w:cs="宋体"/>
          <w:b w:val="0"/>
          <w:bCs/>
          <w:spacing w:val="2"/>
          <w:sz w:val="24"/>
          <w:szCs w:val="24"/>
          <w:highlight w:val="none"/>
          <w:u w:val="single"/>
          <w:lang w:eastAsia="zh-CN"/>
        </w:rPr>
        <w:t>河北可誉工程项目管理有限公司</w:t>
      </w:r>
      <w:r>
        <w:rPr>
          <w:rFonts w:hint="eastAsia" w:ascii="宋体" w:hAnsi="宋体" w:eastAsia="宋体" w:cs="宋体"/>
          <w:b w:val="0"/>
          <w:bCs/>
          <w:spacing w:val="2"/>
          <w:sz w:val="24"/>
          <w:szCs w:val="24"/>
          <w:highlight w:val="none"/>
          <w:u w:val="single"/>
        </w:rPr>
        <w:t xml:space="preserve"> </w:t>
      </w:r>
      <w:r>
        <w:rPr>
          <w:rFonts w:hint="eastAsia" w:ascii="宋体" w:hAnsi="宋体" w:eastAsia="宋体" w:cs="宋体"/>
          <w:b w:val="0"/>
          <w:bCs/>
          <w:spacing w:val="2"/>
          <w:sz w:val="24"/>
          <w:szCs w:val="24"/>
          <w:highlight w:val="none"/>
        </w:rPr>
        <w:t>进行采购；</w:t>
      </w:r>
    </w:p>
    <w:p>
      <w:pPr>
        <w:pStyle w:val="52"/>
        <w:spacing w:before="0" w:after="0" w:line="400" w:lineRule="exact"/>
        <w:ind w:firstLine="488"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（四）拟选采购方式为</w:t>
      </w:r>
      <w:r>
        <w:rPr>
          <w:rFonts w:hint="eastAsia" w:ascii="宋体" w:hAnsi="宋体" w:eastAsia="宋体" w:cs="宋体"/>
          <w:b w:val="0"/>
          <w:bCs/>
          <w:sz w:val="24"/>
          <w:szCs w:val="24"/>
          <w:highlight w:val="none"/>
          <w:u w:val="single"/>
          <w:lang w:val="en-US" w:eastAsia="en-US"/>
        </w:rPr>
        <w:t xml:space="preserve"> </w:t>
      </w:r>
      <w:r>
        <w:rPr>
          <w:rFonts w:hint="eastAsia" w:ascii="宋体" w:hAnsi="宋体" w:eastAsia="宋体" w:cs="宋体"/>
          <w:b w:val="0"/>
          <w:bCs/>
          <w:sz w:val="24"/>
          <w:szCs w:val="24"/>
          <w:highlight w:val="none"/>
          <w:u w:val="single"/>
          <w:lang w:val="en-US" w:eastAsia="zh-CN"/>
        </w:rPr>
        <w:t>竞争性磋商</w:t>
      </w:r>
      <w:r>
        <w:rPr>
          <w:rFonts w:hint="eastAsia" w:ascii="宋体" w:hAnsi="宋体" w:eastAsia="宋体" w:cs="宋体"/>
          <w:b w:val="0"/>
          <w:bCs/>
          <w:sz w:val="24"/>
          <w:szCs w:val="24"/>
          <w:highlight w:val="none"/>
          <w:u w:val="single"/>
          <w:lang w:val="en-US" w:eastAsia="en-US"/>
        </w:rPr>
        <w:t xml:space="preserve"> </w:t>
      </w:r>
      <w:r>
        <w:rPr>
          <w:rFonts w:hint="eastAsia" w:ascii="宋体" w:hAnsi="宋体" w:eastAsia="宋体" w:cs="宋体"/>
          <w:b w:val="0"/>
          <w:bCs/>
          <w:sz w:val="24"/>
          <w:szCs w:val="24"/>
          <w:highlight w:val="none"/>
        </w:rPr>
        <w:t>。</w:t>
      </w:r>
    </w:p>
    <w:p>
      <w:pPr>
        <w:pStyle w:val="52"/>
        <w:spacing w:before="0" w:after="0" w:line="400" w:lineRule="exact"/>
        <w:ind w:firstLine="488"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（五）该项目（否）分包。</w:t>
      </w:r>
    </w:p>
    <w:p>
      <w:pPr>
        <w:pStyle w:val="52"/>
        <w:spacing w:before="0" w:after="0" w:line="400" w:lineRule="exact"/>
        <w:ind w:firstLine="478" w:firstLineChars="196"/>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（六）采购意向公开（河北省政府采购网）于20</w:t>
      </w:r>
      <w:r>
        <w:rPr>
          <w:rFonts w:hint="eastAsia" w:ascii="宋体" w:hAnsi="宋体" w:eastAsia="宋体" w:cs="宋体"/>
          <w:b w:val="0"/>
          <w:bCs/>
          <w:sz w:val="24"/>
          <w:szCs w:val="24"/>
          <w:highlight w:val="none"/>
          <w:u w:val="single"/>
          <w:lang w:val="en-US" w:eastAsia="zh-CN"/>
        </w:rPr>
        <w:t>23</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lang w:val="en-US" w:eastAsia="zh-CN"/>
        </w:rPr>
        <w:t>2</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lang w:val="en-US" w:eastAsia="zh-CN"/>
        </w:rPr>
        <w:t>27</w:t>
      </w:r>
      <w:r>
        <w:rPr>
          <w:rFonts w:hint="eastAsia" w:ascii="宋体" w:hAnsi="宋体" w:eastAsia="宋体" w:cs="宋体"/>
          <w:b w:val="0"/>
          <w:bCs/>
          <w:sz w:val="24"/>
          <w:szCs w:val="24"/>
          <w:highlight w:val="none"/>
        </w:rPr>
        <w:t>日发布，满足30日要求。</w:t>
      </w:r>
    </w:p>
    <w:p>
      <w:pPr>
        <w:pStyle w:val="52"/>
        <w:spacing w:before="0" w:after="0" w:line="40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二</w:t>
      </w:r>
      <w:r>
        <w:rPr>
          <w:rFonts w:hint="eastAsia" w:ascii="宋体" w:hAnsi="宋体" w:eastAsia="宋体" w:cs="宋体"/>
          <w:b w:val="0"/>
          <w:bCs/>
          <w:sz w:val="24"/>
          <w:szCs w:val="24"/>
          <w:highlight w:val="none"/>
        </w:rPr>
        <w:t>、资格要求：</w:t>
      </w:r>
    </w:p>
    <w:p>
      <w:pPr>
        <w:pStyle w:val="52"/>
        <w:spacing w:before="0" w:after="0" w:line="400" w:lineRule="exact"/>
        <w:ind w:firstLine="48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（一）符合《中华人民共和国政府采购法》第二十二条要求；</w:t>
      </w:r>
    </w:p>
    <w:p>
      <w:pPr>
        <w:pStyle w:val="52"/>
        <w:spacing w:before="0" w:after="0" w:line="400" w:lineRule="exact"/>
        <w:ind w:firstLine="488"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（二）根据采购项目规定法律、行政法规规定的其他条件；项目特殊要求、规定的特定条件要求。</w:t>
      </w:r>
    </w:p>
    <w:p>
      <w:pPr>
        <w:pStyle w:val="52"/>
        <w:spacing w:before="0" w:after="0" w:line="40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三</w:t>
      </w:r>
      <w:r>
        <w:rPr>
          <w:rFonts w:hint="eastAsia" w:ascii="宋体" w:hAnsi="宋体" w:eastAsia="宋体" w:cs="宋体"/>
          <w:b w:val="0"/>
          <w:bCs/>
          <w:sz w:val="24"/>
          <w:szCs w:val="24"/>
          <w:highlight w:val="none"/>
        </w:rPr>
        <w:t>、商务要求：</w:t>
      </w:r>
    </w:p>
    <w:p>
      <w:pPr>
        <w:pStyle w:val="52"/>
        <w:spacing w:before="0" w:after="0" w:line="400" w:lineRule="exact"/>
        <w:ind w:firstLine="478" w:firstLineChars="196"/>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1、服务期限</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个月</w:t>
      </w:r>
      <w:r>
        <w:rPr>
          <w:rFonts w:hint="eastAsia" w:ascii="宋体" w:hAnsi="宋体" w:eastAsia="宋体" w:cs="宋体"/>
          <w:b w:val="0"/>
          <w:bCs/>
          <w:sz w:val="24"/>
          <w:szCs w:val="24"/>
          <w:highlight w:val="none"/>
          <w:lang w:eastAsia="zh-CN"/>
        </w:rPr>
        <w:t>；</w:t>
      </w:r>
    </w:p>
    <w:p>
      <w:pPr>
        <w:pStyle w:val="52"/>
        <w:spacing w:before="0" w:after="0" w:line="400" w:lineRule="exact"/>
        <w:ind w:firstLine="478" w:firstLineChars="196"/>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2、能按标准做好售后服务；</w:t>
      </w:r>
    </w:p>
    <w:p>
      <w:pPr>
        <w:pStyle w:val="52"/>
        <w:spacing w:before="0" w:after="0" w:line="400" w:lineRule="exact"/>
        <w:ind w:firstLine="478" w:firstLineChars="196"/>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3、配合第三方做好租赁补贴审计；</w:t>
      </w:r>
    </w:p>
    <w:p>
      <w:pPr>
        <w:pStyle w:val="52"/>
        <w:spacing w:before="0" w:after="0" w:line="400" w:lineRule="exact"/>
        <w:ind w:firstLine="478" w:firstLineChars="196"/>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4、付款方式：市民政局聘请第三方对补贴费用进行审计，并依据第三方出具的审计报告认定金额据实一次性拨付补贴款。</w:t>
      </w:r>
    </w:p>
    <w:p>
      <w:pPr>
        <w:pStyle w:val="52"/>
        <w:spacing w:before="0" w:after="0" w:line="40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四</w:t>
      </w:r>
      <w:r>
        <w:rPr>
          <w:rFonts w:hint="eastAsia" w:ascii="宋体" w:hAnsi="宋体" w:eastAsia="宋体" w:cs="宋体"/>
          <w:b w:val="0"/>
          <w:bCs/>
          <w:sz w:val="24"/>
          <w:szCs w:val="24"/>
          <w:highlight w:val="none"/>
        </w:rPr>
        <w:t>、技术要求：</w:t>
      </w:r>
    </w:p>
    <w:p>
      <w:pPr>
        <w:pStyle w:val="52"/>
        <w:spacing w:before="0" w:after="0" w:line="400" w:lineRule="exact"/>
        <w:ind w:firstLine="478" w:firstLineChars="196"/>
        <w:jc w:val="left"/>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1.按照《秦皇岛市康复辅助器具租赁服务管理办法》，坚持以“市场化运营+政府补贴”的方针，全方位整合资源，在市民政局监督指导下，履行综合运营服务商职责；负责全市康复辅助器具租赁服务中心管理和运营；负责向秦皇岛市民政局申请资金，对符合条件的人员实施租赁补贴申报和发放,做好项目档案的管理、配合做好项目审计及绩效评价等工作。负责服务标准和流程的制定、补贴审核、辅具配置的评估鉴定、服务定价、租赁服务站点的管理和遴选等。租赁服务站点负责咨询、租赁、配置、回收、洗消等日常业务的开展。</w:t>
      </w:r>
    </w:p>
    <w:p>
      <w:pPr>
        <w:pStyle w:val="52"/>
        <w:spacing w:before="0" w:after="0" w:line="400" w:lineRule="exact"/>
        <w:ind w:firstLine="478" w:firstLineChars="196"/>
        <w:jc w:val="left"/>
        <w:rPr>
          <w:rFonts w:hint="eastAsia" w:ascii="宋体" w:hAnsi="宋体" w:eastAsia="宋体" w:cs="宋体"/>
          <w:b w:val="0"/>
          <w:bCs w:val="0"/>
          <w:szCs w:val="24"/>
          <w:lang w:val="en-US" w:eastAsia="zh-CN"/>
        </w:rPr>
      </w:pPr>
      <w:r>
        <w:rPr>
          <w:rFonts w:hint="eastAsia" w:ascii="宋体" w:hAnsi="宋体" w:eastAsia="宋体" w:cs="宋体"/>
          <w:b w:val="0"/>
          <w:bCs w:val="0"/>
          <w:szCs w:val="24"/>
          <w:lang w:val="en-US" w:eastAsia="zh-CN"/>
        </w:rPr>
        <w:t>2.修订租赁产品目录。根据对本地的市场调研和需求分析，组织行业专家，科学合理地修订《秦皇岛市康复辅助器具租赁产品目录》。参照《中国康复辅助器具目录》，对目录的分类、具体产品及如何组织实施进行详细说明，对入选目录的企业进行审核及产品质量检验检测。经专家评审决议后递交市民政局。</w:t>
      </w:r>
    </w:p>
    <w:p>
      <w:pPr>
        <w:rPr>
          <w:rFonts w:hint="eastAsia" w:ascii="宋体" w:hAnsi="宋体" w:eastAsia="宋体" w:cs="宋体"/>
          <w:b w:val="0"/>
          <w:bCs/>
          <w:color w:val="auto"/>
          <w:sz w:val="24"/>
          <w:szCs w:val="24"/>
          <w:highlight w:val="none"/>
        </w:rPr>
      </w:pPr>
    </w:p>
    <w:sectPr>
      <w:footerReference r:id="rId8" w:type="first"/>
      <w:footerReference r:id="rId7" w:type="default"/>
      <w:pgSz w:w="11906" w:h="16838"/>
      <w:pgMar w:top="1440" w:right="1274" w:bottom="1440" w:left="127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8"/>
                            <w:jc w:val="center"/>
                            <w:rPr>
                              <w:rFonts w:hint="eastAsia" w:ascii="宋体" w:hAnsi="宋体" w:eastAsia="宋体" w:cs="宋体"/>
                              <w:sz w:val="15"/>
                              <w:szCs w:val="15"/>
                            </w:rPr>
                          </w:pP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PAGE  \* MERGEFORMAT </w:instrText>
                          </w:r>
                          <w:r>
                            <w:rPr>
                              <w:rFonts w:hint="eastAsia" w:ascii="宋体" w:hAnsi="宋体" w:eastAsia="宋体" w:cs="宋体"/>
                              <w:sz w:val="15"/>
                              <w:szCs w:val="15"/>
                            </w:rPr>
                            <w:fldChar w:fldCharType="separate"/>
                          </w:r>
                          <w:r>
                            <w:rPr>
                              <w:rFonts w:hint="eastAsia" w:ascii="宋体" w:hAnsi="宋体" w:eastAsia="宋体" w:cs="宋体"/>
                              <w:sz w:val="15"/>
                              <w:szCs w:val="15"/>
                            </w:rPr>
                            <w:t>24</w:t>
                          </w:r>
                          <w:r>
                            <w:rPr>
                              <w:rFonts w:hint="eastAsia" w:ascii="宋体" w:hAnsi="宋体" w:eastAsia="宋体" w:cs="宋体"/>
                              <w:sz w:val="15"/>
                              <w:szCs w:val="15"/>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AsQV9/RAQAAogMAAA4AAAAAAAAAAQAgAAAAHgEAAGRy&#10;cy9lMm9Eb2MueG1sUEsFBgAAAAAGAAYAWQEAAGEFAAAAAA==&#10;">
              <v:fill on="f" focussize="0,0"/>
              <v:stroke on="f"/>
              <v:imagedata o:title=""/>
              <o:lock v:ext="edit" aspectratio="f"/>
              <v:textbox inset="0mm,0mm,0mm,0mm" style="mso-fit-shape-to-text:t;">
                <w:txbxContent>
                  <w:p>
                    <w:pPr>
                      <w:pStyle w:val="18"/>
                      <w:jc w:val="center"/>
                      <w:rPr>
                        <w:rFonts w:hint="eastAsia" w:ascii="宋体" w:hAnsi="宋体" w:eastAsia="宋体" w:cs="宋体"/>
                        <w:sz w:val="15"/>
                        <w:szCs w:val="15"/>
                      </w:rPr>
                    </w:pP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PAGE  \* MERGEFORMAT </w:instrText>
                    </w:r>
                    <w:r>
                      <w:rPr>
                        <w:rFonts w:hint="eastAsia" w:ascii="宋体" w:hAnsi="宋体" w:eastAsia="宋体" w:cs="宋体"/>
                        <w:sz w:val="15"/>
                        <w:szCs w:val="15"/>
                      </w:rPr>
                      <w:fldChar w:fldCharType="separate"/>
                    </w:r>
                    <w:r>
                      <w:rPr>
                        <w:rFonts w:hint="eastAsia" w:ascii="宋体" w:hAnsi="宋体" w:eastAsia="宋体" w:cs="宋体"/>
                        <w:sz w:val="15"/>
                        <w:szCs w:val="15"/>
                      </w:rPr>
                      <w:t>24</w:t>
                    </w:r>
                    <w:r>
                      <w:rPr>
                        <w:rFonts w:hint="eastAsia" w:ascii="宋体" w:hAnsi="宋体" w:eastAsia="宋体" w:cs="宋体"/>
                        <w:sz w:val="15"/>
                        <w:szCs w:val="1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zjRtv0gEAAKQDAAAOAAAAAAAAAAEAIAAAAB4BAABk&#10;cnMvZTJvRG9jLnhtbFBLBQYAAAAABgAGAFkBAABiBQAAAAA=&#10;">
              <v:fill on="f" focussize="0,0"/>
              <v:stroke on="f"/>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CCAB6"/>
    <w:multiLevelType w:val="singleLevel"/>
    <w:tmpl w:val="FB6CCAB6"/>
    <w:lvl w:ilvl="0" w:tentative="0">
      <w:start w:val="1"/>
      <w:numFmt w:val="chineseCounting"/>
      <w:suff w:val="nothing"/>
      <w:lvlText w:val="%1、"/>
      <w:lvlJc w:val="left"/>
      <w:pPr>
        <w:ind w:left="210" w:leftChars="0" w:firstLine="0" w:firstLineChars="0"/>
      </w:pPr>
      <w:rPr>
        <w:rFonts w:hint="eastAsia"/>
      </w:rPr>
    </w:lvl>
  </w:abstractNum>
  <w:abstractNum w:abstractNumId="1">
    <w:nsid w:val="5993EE0A"/>
    <w:multiLevelType w:val="singleLevel"/>
    <w:tmpl w:val="5993EE0A"/>
    <w:lvl w:ilvl="0" w:tentative="0">
      <w:start w:val="3"/>
      <w:numFmt w:val="decimal"/>
      <w:suff w:val="nothing"/>
      <w:lvlText w:val="%1."/>
      <w:lvlJc w:val="left"/>
    </w:lvl>
  </w:abstractNum>
  <w:abstractNum w:abstractNumId="2">
    <w:nsid w:val="5994E645"/>
    <w:multiLevelType w:val="singleLevel"/>
    <w:tmpl w:val="5994E645"/>
    <w:lvl w:ilvl="0" w:tentative="0">
      <w:start w:val="1"/>
      <w:numFmt w:val="chineseCounting"/>
      <w:suff w:val="nothing"/>
      <w:lvlText w:val="%1、"/>
      <w:lvlJc w:val="left"/>
    </w:lvl>
  </w:abstractNum>
  <w:abstractNum w:abstractNumId="3">
    <w:nsid w:val="59EDC2DC"/>
    <w:multiLevelType w:val="singleLevel"/>
    <w:tmpl w:val="59EDC2DC"/>
    <w:lvl w:ilvl="0" w:tentative="0">
      <w:start w:val="1"/>
      <w:numFmt w:val="decimal"/>
      <w:lvlText w:val="(%1)"/>
      <w:lvlJc w:val="left"/>
      <w:pPr>
        <w:ind w:left="425" w:hanging="425"/>
      </w:pPr>
      <w:rPr>
        <w:rFonts w:hint="default"/>
      </w:rPr>
    </w:lvl>
  </w:abstractNum>
  <w:abstractNum w:abstractNumId="4">
    <w:nsid w:val="5A3737C5"/>
    <w:multiLevelType w:val="singleLevel"/>
    <w:tmpl w:val="5A3737C5"/>
    <w:lvl w:ilvl="0" w:tentative="0">
      <w:start w:val="1"/>
      <w:numFmt w:val="chineseCounting"/>
      <w:suff w:val="space"/>
      <w:lvlText w:val="第%1章"/>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ZThhNmE3MDA0ZTNhMTU0MzczNTMxMDYwN2EwZDkifQ=="/>
  </w:docVars>
  <w:rsids>
    <w:rsidRoot w:val="60787A9B"/>
    <w:rsid w:val="001F4C26"/>
    <w:rsid w:val="003B689D"/>
    <w:rsid w:val="007961BB"/>
    <w:rsid w:val="00AC2EAC"/>
    <w:rsid w:val="00F6763F"/>
    <w:rsid w:val="01283E58"/>
    <w:rsid w:val="01491EAD"/>
    <w:rsid w:val="02296E92"/>
    <w:rsid w:val="02725307"/>
    <w:rsid w:val="02B805FB"/>
    <w:rsid w:val="02CA5473"/>
    <w:rsid w:val="02E223AC"/>
    <w:rsid w:val="031214A4"/>
    <w:rsid w:val="032F04D8"/>
    <w:rsid w:val="03473805"/>
    <w:rsid w:val="03706FAA"/>
    <w:rsid w:val="053528AA"/>
    <w:rsid w:val="05B7140E"/>
    <w:rsid w:val="05BD6BA1"/>
    <w:rsid w:val="05F64D43"/>
    <w:rsid w:val="066B372D"/>
    <w:rsid w:val="06F607EA"/>
    <w:rsid w:val="074134A7"/>
    <w:rsid w:val="074E478E"/>
    <w:rsid w:val="075D59AD"/>
    <w:rsid w:val="077E1A2E"/>
    <w:rsid w:val="07D91ED2"/>
    <w:rsid w:val="088363EF"/>
    <w:rsid w:val="09482F4D"/>
    <w:rsid w:val="094F3C3C"/>
    <w:rsid w:val="099A79FD"/>
    <w:rsid w:val="09B3742B"/>
    <w:rsid w:val="09C008C4"/>
    <w:rsid w:val="0A217EE9"/>
    <w:rsid w:val="0A2A79FE"/>
    <w:rsid w:val="0A391C3C"/>
    <w:rsid w:val="0A7415D1"/>
    <w:rsid w:val="0ACF3CF9"/>
    <w:rsid w:val="0B2335A6"/>
    <w:rsid w:val="0B2D098C"/>
    <w:rsid w:val="0B351681"/>
    <w:rsid w:val="0C587E3C"/>
    <w:rsid w:val="0C803B53"/>
    <w:rsid w:val="0CD5337C"/>
    <w:rsid w:val="0D2546FA"/>
    <w:rsid w:val="0D2C6390"/>
    <w:rsid w:val="0D2C6C95"/>
    <w:rsid w:val="0D6B730C"/>
    <w:rsid w:val="0D85700A"/>
    <w:rsid w:val="0D870F11"/>
    <w:rsid w:val="0D9A7E1A"/>
    <w:rsid w:val="0DFF0FD1"/>
    <w:rsid w:val="0E032C8D"/>
    <w:rsid w:val="0EB41BA9"/>
    <w:rsid w:val="0EE80F5B"/>
    <w:rsid w:val="0EF5177C"/>
    <w:rsid w:val="0FB07541"/>
    <w:rsid w:val="106C25E8"/>
    <w:rsid w:val="109056B5"/>
    <w:rsid w:val="109F3EBD"/>
    <w:rsid w:val="10AC750C"/>
    <w:rsid w:val="112E1264"/>
    <w:rsid w:val="115501CF"/>
    <w:rsid w:val="130F3FEA"/>
    <w:rsid w:val="13C748DD"/>
    <w:rsid w:val="149E24F5"/>
    <w:rsid w:val="14DD264D"/>
    <w:rsid w:val="14E27752"/>
    <w:rsid w:val="15504124"/>
    <w:rsid w:val="15711009"/>
    <w:rsid w:val="163242ED"/>
    <w:rsid w:val="16CD4703"/>
    <w:rsid w:val="170E793A"/>
    <w:rsid w:val="177C1973"/>
    <w:rsid w:val="17B218AB"/>
    <w:rsid w:val="17B42B5B"/>
    <w:rsid w:val="17F610F0"/>
    <w:rsid w:val="18621529"/>
    <w:rsid w:val="18E03258"/>
    <w:rsid w:val="19121FD6"/>
    <w:rsid w:val="19986648"/>
    <w:rsid w:val="199C5D44"/>
    <w:rsid w:val="1B623C17"/>
    <w:rsid w:val="1BA95907"/>
    <w:rsid w:val="1BEA0A7F"/>
    <w:rsid w:val="1C1222ED"/>
    <w:rsid w:val="1C7F5342"/>
    <w:rsid w:val="1CD4760A"/>
    <w:rsid w:val="1D787CBC"/>
    <w:rsid w:val="1DF26621"/>
    <w:rsid w:val="1E8324A5"/>
    <w:rsid w:val="1E9B481C"/>
    <w:rsid w:val="1EBE1970"/>
    <w:rsid w:val="1F9D4FD3"/>
    <w:rsid w:val="1FD4521A"/>
    <w:rsid w:val="20723809"/>
    <w:rsid w:val="20A44E7F"/>
    <w:rsid w:val="21A43FF7"/>
    <w:rsid w:val="21A92B87"/>
    <w:rsid w:val="21B17028"/>
    <w:rsid w:val="22462CF1"/>
    <w:rsid w:val="22A33464"/>
    <w:rsid w:val="22E34CBE"/>
    <w:rsid w:val="233241CF"/>
    <w:rsid w:val="23836AEB"/>
    <w:rsid w:val="23B97D80"/>
    <w:rsid w:val="23C662B7"/>
    <w:rsid w:val="23E25FC2"/>
    <w:rsid w:val="241B6B02"/>
    <w:rsid w:val="25B601A1"/>
    <w:rsid w:val="26244485"/>
    <w:rsid w:val="266A2A60"/>
    <w:rsid w:val="268169ED"/>
    <w:rsid w:val="27071EFE"/>
    <w:rsid w:val="272F2751"/>
    <w:rsid w:val="27B435E1"/>
    <w:rsid w:val="283A0622"/>
    <w:rsid w:val="2884169E"/>
    <w:rsid w:val="28E7108E"/>
    <w:rsid w:val="2942580B"/>
    <w:rsid w:val="297F63BA"/>
    <w:rsid w:val="29BF5D43"/>
    <w:rsid w:val="2A3253DB"/>
    <w:rsid w:val="2A642843"/>
    <w:rsid w:val="2A843774"/>
    <w:rsid w:val="2AAF5815"/>
    <w:rsid w:val="2B6279DE"/>
    <w:rsid w:val="2B987724"/>
    <w:rsid w:val="2BAA2854"/>
    <w:rsid w:val="2C13045A"/>
    <w:rsid w:val="2C303F27"/>
    <w:rsid w:val="2C6D2D60"/>
    <w:rsid w:val="2CAC2C5E"/>
    <w:rsid w:val="2CDA0129"/>
    <w:rsid w:val="2D3A16A4"/>
    <w:rsid w:val="2D462938"/>
    <w:rsid w:val="2D8936A5"/>
    <w:rsid w:val="2DCB749B"/>
    <w:rsid w:val="2E06431E"/>
    <w:rsid w:val="2E924873"/>
    <w:rsid w:val="2EFF0E61"/>
    <w:rsid w:val="2FAE31B5"/>
    <w:rsid w:val="30DE78A1"/>
    <w:rsid w:val="30F71D86"/>
    <w:rsid w:val="316400A5"/>
    <w:rsid w:val="316660CC"/>
    <w:rsid w:val="3186349A"/>
    <w:rsid w:val="31A85E15"/>
    <w:rsid w:val="31E75945"/>
    <w:rsid w:val="31E80C26"/>
    <w:rsid w:val="32196451"/>
    <w:rsid w:val="32951856"/>
    <w:rsid w:val="32FD564D"/>
    <w:rsid w:val="33C74C84"/>
    <w:rsid w:val="33FC5FFB"/>
    <w:rsid w:val="344F3715"/>
    <w:rsid w:val="345420A9"/>
    <w:rsid w:val="34F52715"/>
    <w:rsid w:val="3509497E"/>
    <w:rsid w:val="353668D7"/>
    <w:rsid w:val="35836CF2"/>
    <w:rsid w:val="35EC6AAD"/>
    <w:rsid w:val="36E44B5A"/>
    <w:rsid w:val="378356DA"/>
    <w:rsid w:val="37BC70CE"/>
    <w:rsid w:val="37DC342E"/>
    <w:rsid w:val="384B635C"/>
    <w:rsid w:val="39290FA2"/>
    <w:rsid w:val="39352807"/>
    <w:rsid w:val="39594182"/>
    <w:rsid w:val="39C7285B"/>
    <w:rsid w:val="39DA2B2C"/>
    <w:rsid w:val="3A7154F8"/>
    <w:rsid w:val="3A785F9E"/>
    <w:rsid w:val="3B295CED"/>
    <w:rsid w:val="3B2E2848"/>
    <w:rsid w:val="3B52645B"/>
    <w:rsid w:val="3B583647"/>
    <w:rsid w:val="3B6E70F3"/>
    <w:rsid w:val="3B702E61"/>
    <w:rsid w:val="3B954675"/>
    <w:rsid w:val="3CEB743F"/>
    <w:rsid w:val="3D335956"/>
    <w:rsid w:val="3D9425AC"/>
    <w:rsid w:val="3EBC7255"/>
    <w:rsid w:val="3EFF1837"/>
    <w:rsid w:val="3FA31846"/>
    <w:rsid w:val="40B35041"/>
    <w:rsid w:val="40BF7A65"/>
    <w:rsid w:val="40EA3B3B"/>
    <w:rsid w:val="41AD7094"/>
    <w:rsid w:val="425D0BCB"/>
    <w:rsid w:val="425E7D93"/>
    <w:rsid w:val="430F2F5F"/>
    <w:rsid w:val="43212C92"/>
    <w:rsid w:val="432F62EF"/>
    <w:rsid w:val="437C6F07"/>
    <w:rsid w:val="43AD75DB"/>
    <w:rsid w:val="43D17C21"/>
    <w:rsid w:val="44840C63"/>
    <w:rsid w:val="44943066"/>
    <w:rsid w:val="452D2082"/>
    <w:rsid w:val="458054B0"/>
    <w:rsid w:val="45A04342"/>
    <w:rsid w:val="45BB10DA"/>
    <w:rsid w:val="45D97854"/>
    <w:rsid w:val="468F354F"/>
    <w:rsid w:val="46B319CB"/>
    <w:rsid w:val="46DE43B2"/>
    <w:rsid w:val="46FA3E68"/>
    <w:rsid w:val="47F27187"/>
    <w:rsid w:val="4832012A"/>
    <w:rsid w:val="48887AC2"/>
    <w:rsid w:val="49E42270"/>
    <w:rsid w:val="49F73C85"/>
    <w:rsid w:val="4A252AE3"/>
    <w:rsid w:val="4A7E2A78"/>
    <w:rsid w:val="4A8022C8"/>
    <w:rsid w:val="4A905888"/>
    <w:rsid w:val="4BA62F94"/>
    <w:rsid w:val="4BCF2C67"/>
    <w:rsid w:val="4D7E43BB"/>
    <w:rsid w:val="4DFA3023"/>
    <w:rsid w:val="4F6043CF"/>
    <w:rsid w:val="4F7647E9"/>
    <w:rsid w:val="4FC96B8B"/>
    <w:rsid w:val="500A7FFB"/>
    <w:rsid w:val="502267AB"/>
    <w:rsid w:val="51A76A58"/>
    <w:rsid w:val="51CD046C"/>
    <w:rsid w:val="51FB1AC4"/>
    <w:rsid w:val="52204680"/>
    <w:rsid w:val="52696213"/>
    <w:rsid w:val="52951025"/>
    <w:rsid w:val="537F602F"/>
    <w:rsid w:val="53A4169F"/>
    <w:rsid w:val="53B63B53"/>
    <w:rsid w:val="53DE2557"/>
    <w:rsid w:val="55307938"/>
    <w:rsid w:val="55AD539E"/>
    <w:rsid w:val="55D26476"/>
    <w:rsid w:val="563209F9"/>
    <w:rsid w:val="563B14F3"/>
    <w:rsid w:val="5699174E"/>
    <w:rsid w:val="56A16F76"/>
    <w:rsid w:val="57377288"/>
    <w:rsid w:val="59137D17"/>
    <w:rsid w:val="59456547"/>
    <w:rsid w:val="59906FC3"/>
    <w:rsid w:val="59C97254"/>
    <w:rsid w:val="59DA67CE"/>
    <w:rsid w:val="5A183D05"/>
    <w:rsid w:val="5A1C3E64"/>
    <w:rsid w:val="5A27192D"/>
    <w:rsid w:val="5A417386"/>
    <w:rsid w:val="5A596FE0"/>
    <w:rsid w:val="5AA45399"/>
    <w:rsid w:val="5AB44D75"/>
    <w:rsid w:val="5AD34E27"/>
    <w:rsid w:val="5BFD3E45"/>
    <w:rsid w:val="5C2C044A"/>
    <w:rsid w:val="5C670156"/>
    <w:rsid w:val="5CC918FF"/>
    <w:rsid w:val="5D5A1753"/>
    <w:rsid w:val="5D6105A5"/>
    <w:rsid w:val="5E8D7FDA"/>
    <w:rsid w:val="5EC41020"/>
    <w:rsid w:val="5EFF7895"/>
    <w:rsid w:val="5F597D1B"/>
    <w:rsid w:val="5FDE21DF"/>
    <w:rsid w:val="602A0F80"/>
    <w:rsid w:val="60787A9B"/>
    <w:rsid w:val="60E56217"/>
    <w:rsid w:val="612B0DB6"/>
    <w:rsid w:val="619456F8"/>
    <w:rsid w:val="61F55488"/>
    <w:rsid w:val="632C39B6"/>
    <w:rsid w:val="63FA510E"/>
    <w:rsid w:val="648615FC"/>
    <w:rsid w:val="64EF2799"/>
    <w:rsid w:val="652F5FF1"/>
    <w:rsid w:val="6536312D"/>
    <w:rsid w:val="653F7537"/>
    <w:rsid w:val="658354F0"/>
    <w:rsid w:val="65D21644"/>
    <w:rsid w:val="668C632D"/>
    <w:rsid w:val="67174C70"/>
    <w:rsid w:val="67C15B8F"/>
    <w:rsid w:val="67FC3283"/>
    <w:rsid w:val="696241A0"/>
    <w:rsid w:val="69F12B0F"/>
    <w:rsid w:val="6A5E6225"/>
    <w:rsid w:val="6A6027C1"/>
    <w:rsid w:val="6C84656C"/>
    <w:rsid w:val="6C9D0213"/>
    <w:rsid w:val="6CBA368C"/>
    <w:rsid w:val="6CBE777E"/>
    <w:rsid w:val="6D057328"/>
    <w:rsid w:val="6D322186"/>
    <w:rsid w:val="6DF64ADD"/>
    <w:rsid w:val="6E5609A4"/>
    <w:rsid w:val="6E7A77B9"/>
    <w:rsid w:val="6EB25237"/>
    <w:rsid w:val="6F0E0FD8"/>
    <w:rsid w:val="70607900"/>
    <w:rsid w:val="708602E1"/>
    <w:rsid w:val="708F55E0"/>
    <w:rsid w:val="70DA48E7"/>
    <w:rsid w:val="71133D75"/>
    <w:rsid w:val="71FE5E8A"/>
    <w:rsid w:val="727C7A53"/>
    <w:rsid w:val="72EE4CCA"/>
    <w:rsid w:val="73513880"/>
    <w:rsid w:val="742E4491"/>
    <w:rsid w:val="74B667CF"/>
    <w:rsid w:val="74BF4EC2"/>
    <w:rsid w:val="74C05ABE"/>
    <w:rsid w:val="75555513"/>
    <w:rsid w:val="75CF7AE2"/>
    <w:rsid w:val="76092E5C"/>
    <w:rsid w:val="777F07EA"/>
    <w:rsid w:val="77B26485"/>
    <w:rsid w:val="77F81C0C"/>
    <w:rsid w:val="77FD25D4"/>
    <w:rsid w:val="78190EC0"/>
    <w:rsid w:val="783267CC"/>
    <w:rsid w:val="78D64878"/>
    <w:rsid w:val="791B27DC"/>
    <w:rsid w:val="79D86182"/>
    <w:rsid w:val="7A3D2822"/>
    <w:rsid w:val="7A884088"/>
    <w:rsid w:val="7A8C614D"/>
    <w:rsid w:val="7B0C59FB"/>
    <w:rsid w:val="7BF34FAF"/>
    <w:rsid w:val="7CB06591"/>
    <w:rsid w:val="7CD7650C"/>
    <w:rsid w:val="7D293DDF"/>
    <w:rsid w:val="7D917194"/>
    <w:rsid w:val="7D9C7802"/>
    <w:rsid w:val="7EAC28C5"/>
    <w:rsid w:val="7F5B7CB0"/>
    <w:rsid w:val="7F7F787F"/>
    <w:rsid w:val="7FA815F1"/>
    <w:rsid w:val="7FC02B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widowControl w:val="0"/>
      <w:adjustRightInd w:val="0"/>
      <w:spacing w:before="260" w:beforeLines="0" w:after="260" w:afterLines="0" w:line="416" w:lineRule="atLeast"/>
      <w:jc w:val="both"/>
      <w:textAlignment w:val="baseline"/>
      <w:outlineLvl w:val="2"/>
    </w:pPr>
    <w:rPr>
      <w:b/>
      <w:sz w:val="32"/>
    </w:rPr>
  </w:style>
  <w:style w:type="paragraph" w:styleId="7">
    <w:name w:val="heading 4"/>
    <w:basedOn w:val="1"/>
    <w:next w:val="1"/>
    <w:qFormat/>
    <w:uiPriority w:val="9"/>
    <w:pPr>
      <w:keepNext/>
      <w:keepLines/>
      <w:spacing w:before="280" w:beforeLines="0" w:after="290" w:afterLines="0" w:line="377" w:lineRule="auto"/>
      <w:ind w:firstLine="200" w:firstLineChars="200"/>
      <w:outlineLvl w:val="3"/>
    </w:pPr>
    <w:rPr>
      <w:rFonts w:ascii="Cambria" w:hAnsi="Cambria"/>
      <w:b/>
      <w:bCs/>
      <w:sz w:val="28"/>
      <w:szCs w:val="28"/>
    </w:rPr>
  </w:style>
  <w:style w:type="paragraph" w:styleId="8">
    <w:name w:val="heading 7"/>
    <w:basedOn w:val="1"/>
    <w:next w:val="1"/>
    <w:qFormat/>
    <w:uiPriority w:val="1"/>
    <w:pPr>
      <w:ind w:left="911"/>
      <w:outlineLvl w:val="7"/>
    </w:pPr>
    <w:rPr>
      <w:rFonts w:ascii="宋体" w:hAnsi="宋体" w:eastAsia="宋体" w:cs="宋体"/>
      <w:b/>
      <w:bCs/>
      <w:sz w:val="24"/>
      <w:szCs w:val="24"/>
      <w:lang w:val="zh-CN" w:eastAsia="zh-CN" w:bidi="zh-CN"/>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keepNext w:val="0"/>
      <w:keepLines w:val="0"/>
      <w:widowControl w:val="0"/>
      <w:suppressLineNumbers w:val="0"/>
      <w:tabs>
        <w:tab w:val="left" w:pos="1155"/>
      </w:tabs>
      <w:spacing w:before="0" w:beforeLines="0" w:beforeAutospacing="0" w:after="0" w:afterLines="0" w:afterAutospacing="0" w:line="420" w:lineRule="exact"/>
      <w:ind w:left="0" w:right="0"/>
      <w:jc w:val="both"/>
    </w:pPr>
    <w:rPr>
      <w:rFonts w:hint="eastAsia" w:ascii="宋体" w:hAnsi="Times New Roman" w:eastAsia="宋体" w:cs="Times New Roman"/>
      <w:color w:val="auto"/>
      <w:kern w:val="2"/>
      <w:sz w:val="24"/>
      <w:szCs w:val="24"/>
      <w:lang w:val="en-US" w:eastAsia="zh-CN" w:bidi="ar-SA"/>
    </w:rPr>
  </w:style>
  <w:style w:type="paragraph" w:customStyle="1" w:styleId="3">
    <w:name w:val="_Style 2"/>
    <w:basedOn w:val="1"/>
    <w:qFormat/>
    <w:uiPriority w:val="34"/>
    <w:pPr>
      <w:ind w:firstLine="420"/>
    </w:pPr>
  </w:style>
  <w:style w:type="paragraph" w:styleId="9">
    <w:name w:val="table of authorities"/>
    <w:basedOn w:val="1"/>
    <w:next w:val="1"/>
    <w:qFormat/>
    <w:uiPriority w:val="0"/>
    <w:pPr>
      <w:ind w:leftChars="200"/>
    </w:pPr>
    <w:rPr>
      <w:rFonts w:ascii="Times New Roman"/>
      <w:kern w:val="2"/>
      <w:sz w:val="21"/>
      <w:szCs w:val="24"/>
    </w:rPr>
  </w:style>
  <w:style w:type="paragraph" w:styleId="10">
    <w:name w:val="caption"/>
    <w:basedOn w:val="1"/>
    <w:next w:val="1"/>
    <w:qFormat/>
    <w:uiPriority w:val="0"/>
    <w:pPr>
      <w:spacing w:before="152" w:beforeLines="0" w:after="160" w:afterLines="0"/>
    </w:pPr>
    <w:rPr>
      <w:rFonts w:ascii="Arial" w:hAnsi="Arial" w:eastAsia="黑体" w:cs="Arial"/>
      <w:sz w:val="20"/>
      <w:szCs w:val="20"/>
    </w:rPr>
  </w:style>
  <w:style w:type="paragraph" w:styleId="11">
    <w:name w:val="toa heading"/>
    <w:basedOn w:val="1"/>
    <w:next w:val="1"/>
    <w:qFormat/>
    <w:uiPriority w:val="0"/>
    <w:pPr>
      <w:spacing w:before="120"/>
    </w:pPr>
    <w:rPr>
      <w:rFonts w:ascii="Arial" w:hAnsi="Arial" w:cs="Arial"/>
      <w:color w:val="000000"/>
      <w:kern w:val="1"/>
      <w:sz w:val="28"/>
      <w:szCs w:val="24"/>
    </w:rPr>
  </w:style>
  <w:style w:type="paragraph" w:styleId="12">
    <w:name w:val="annotation text"/>
    <w:basedOn w:val="1"/>
    <w:next w:val="9"/>
    <w:semiHidden/>
    <w:qFormat/>
    <w:uiPriority w:val="0"/>
    <w:pPr>
      <w:jc w:val="left"/>
    </w:pPr>
  </w:style>
  <w:style w:type="paragraph" w:styleId="13">
    <w:name w:val="index 6"/>
    <w:basedOn w:val="1"/>
    <w:next w:val="1"/>
    <w:qFormat/>
    <w:uiPriority w:val="0"/>
    <w:pPr>
      <w:ind w:left="2100"/>
    </w:pPr>
  </w:style>
  <w:style w:type="paragraph" w:styleId="14">
    <w:name w:val="Body Text Indent"/>
    <w:basedOn w:val="1"/>
    <w:next w:val="15"/>
    <w:qFormat/>
    <w:uiPriority w:val="0"/>
    <w:pPr>
      <w:ind w:firstLine="420"/>
    </w:pPr>
    <w:rPr>
      <w:kern w:val="0"/>
    </w:rPr>
  </w:style>
  <w:style w:type="paragraph" w:styleId="15">
    <w:name w:val="toc 8"/>
    <w:basedOn w:val="1"/>
    <w:next w:val="1"/>
    <w:qFormat/>
    <w:uiPriority w:val="0"/>
    <w:pPr>
      <w:ind w:left="1470"/>
      <w:jc w:val="left"/>
    </w:pPr>
    <w:rPr>
      <w:rFonts w:ascii="Calibri" w:hAnsi="Calibri"/>
      <w:sz w:val="18"/>
      <w:szCs w:val="18"/>
    </w:rPr>
  </w:style>
  <w:style w:type="paragraph" w:styleId="16">
    <w:name w:val="toc 3"/>
    <w:basedOn w:val="1"/>
    <w:next w:val="1"/>
    <w:qFormat/>
    <w:uiPriority w:val="0"/>
    <w:pPr>
      <w:jc w:val="left"/>
    </w:pPr>
    <w:rPr>
      <w:rFonts w:ascii="宋体"/>
      <w:b/>
      <w:sz w:val="24"/>
      <w:szCs w:val="24"/>
    </w:rPr>
  </w:style>
  <w:style w:type="paragraph" w:styleId="17">
    <w:name w:val="Plain Text"/>
    <w:basedOn w:val="1"/>
    <w:next w:val="1"/>
    <w:unhideWhenUsed/>
    <w:qFormat/>
    <w:uiPriority w:val="0"/>
    <w:pPr>
      <w:keepNext w:val="0"/>
      <w:keepLines w:val="0"/>
      <w:widowControl w:val="0"/>
      <w:suppressLineNumbers w:val="0"/>
      <w:spacing w:before="0" w:beforeLines="0" w:beforeAutospacing="0" w:after="0" w:afterLines="0" w:afterAutospacing="0"/>
      <w:ind w:left="0" w:right="0"/>
      <w:jc w:val="both"/>
    </w:pPr>
    <w:rPr>
      <w:rFonts w:hint="eastAsia" w:ascii="宋体" w:hAnsi="Courier New" w:eastAsia="宋体" w:cs="Times New Roman"/>
      <w:color w:val="auto"/>
      <w:kern w:val="0"/>
      <w:sz w:val="21"/>
      <w:szCs w:val="21"/>
      <w:lang w:val="en-US" w:eastAsia="zh-CN" w:bidi="ar-SA"/>
    </w:rPr>
  </w:style>
  <w:style w:type="paragraph" w:styleId="18">
    <w:name w:val="footer"/>
    <w:basedOn w:val="1"/>
    <w:qFormat/>
    <w:uiPriority w:val="99"/>
    <w:pPr>
      <w:tabs>
        <w:tab w:val="center" w:pos="4153"/>
        <w:tab w:val="right" w:pos="8306"/>
      </w:tabs>
      <w:snapToGrid w:val="0"/>
      <w:jc w:val="left"/>
    </w:pPr>
    <w:rPr>
      <w:sz w:val="18"/>
    </w:rPr>
  </w:style>
  <w:style w:type="paragraph" w:styleId="19">
    <w:name w:val="envelope return"/>
    <w:basedOn w:val="1"/>
    <w:qFormat/>
    <w:uiPriority w:val="99"/>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unhideWhenUsed/>
    <w:qFormat/>
    <w:uiPriority w:val="39"/>
  </w:style>
  <w:style w:type="paragraph" w:styleId="22">
    <w:name w:val="table of figures"/>
    <w:basedOn w:val="1"/>
    <w:next w:val="1"/>
    <w:qFormat/>
    <w:uiPriority w:val="0"/>
    <w:pPr>
      <w:ind w:left="200" w:leftChars="200" w:hanging="200" w:hangingChars="200"/>
    </w:p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0"/>
    <w:pPr>
      <w:spacing w:before="100" w:beforeLines="0" w:beforeAutospacing="1" w:after="100" w:afterLines="0" w:afterAutospacing="1"/>
      <w:ind w:left="0" w:right="0"/>
      <w:jc w:val="left"/>
    </w:pPr>
    <w:rPr>
      <w:kern w:val="0"/>
      <w:sz w:val="24"/>
      <w:lang w:val="en-US" w:eastAsia="zh-CN" w:bidi="ar-SA"/>
    </w:rPr>
  </w:style>
  <w:style w:type="paragraph" w:styleId="25">
    <w:name w:val="Title"/>
    <w:basedOn w:val="1"/>
    <w:next w:val="1"/>
    <w:qFormat/>
    <w:uiPriority w:val="0"/>
    <w:pPr>
      <w:keepNext w:val="0"/>
      <w:keepLines w:val="0"/>
      <w:widowControl w:val="0"/>
      <w:suppressLineNumbers w:val="0"/>
      <w:spacing w:before="240" w:beforeLines="0" w:beforeAutospacing="0" w:after="60" w:afterLines="0" w:afterAutospacing="0"/>
      <w:ind w:left="0" w:right="0"/>
      <w:jc w:val="center"/>
      <w:outlineLvl w:val="0"/>
    </w:pPr>
    <w:rPr>
      <w:rFonts w:ascii="Arial" w:hAnsi="Arial"/>
      <w:b/>
      <w:sz w:val="32"/>
      <w:szCs w:val="32"/>
    </w:rPr>
  </w:style>
  <w:style w:type="paragraph" w:styleId="26">
    <w:name w:val="Body Text First Indent 2"/>
    <w:basedOn w:val="14"/>
    <w:next w:val="12"/>
    <w:qFormat/>
    <w:uiPriority w:val="0"/>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Emphasis"/>
    <w:basedOn w:val="29"/>
    <w:qFormat/>
    <w:uiPriority w:val="0"/>
    <w:rPr>
      <w:b/>
      <w:bCs/>
    </w:rPr>
  </w:style>
  <w:style w:type="character" w:styleId="34">
    <w:name w:val="HTML Definition"/>
    <w:basedOn w:val="29"/>
    <w:qFormat/>
    <w:uiPriority w:val="0"/>
    <w:rPr>
      <w:bdr w:val="single" w:color="BDBEC1" w:sz="6" w:space="0"/>
      <w:shd w:val="clear" w:fill="FFFFFF"/>
    </w:rPr>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rPr>
      <w:shd w:val="clear" w:fill="FFFFFF"/>
    </w:rPr>
  </w:style>
  <w:style w:type="character" w:styleId="37">
    <w:name w:val="HTML Variable"/>
    <w:basedOn w:val="29"/>
    <w:qFormat/>
    <w:uiPriority w:val="0"/>
  </w:style>
  <w:style w:type="character" w:styleId="38">
    <w:name w:val="Hyperlink"/>
    <w:basedOn w:val="29"/>
    <w:unhideWhenUsed/>
    <w:qFormat/>
    <w:uiPriority w:val="99"/>
    <w:rPr>
      <w:color w:val="136EC2"/>
      <w:u w:val="single"/>
    </w:rPr>
  </w:style>
  <w:style w:type="character" w:styleId="39">
    <w:name w:val="HTML Code"/>
    <w:basedOn w:val="29"/>
    <w:qFormat/>
    <w:uiPriority w:val="0"/>
    <w:rPr>
      <w:rFonts w:hint="default" w:ascii="monospace" w:hAnsi="monospace" w:eastAsia="monospace" w:cs="monospace"/>
      <w:sz w:val="20"/>
    </w:rPr>
  </w:style>
  <w:style w:type="character" w:styleId="40">
    <w:name w:val="HTML Cite"/>
    <w:basedOn w:val="29"/>
    <w:qFormat/>
    <w:uiPriority w:val="0"/>
  </w:style>
  <w:style w:type="character" w:styleId="41">
    <w:name w:val="HTML Keyboard"/>
    <w:basedOn w:val="29"/>
    <w:qFormat/>
    <w:uiPriority w:val="0"/>
    <w:rPr>
      <w:rFonts w:hint="default" w:ascii="monospace" w:hAnsi="monospace" w:eastAsia="monospace" w:cs="monospace"/>
      <w:sz w:val="20"/>
    </w:rPr>
  </w:style>
  <w:style w:type="character" w:styleId="42">
    <w:name w:val="HTML Sample"/>
    <w:basedOn w:val="29"/>
    <w:qFormat/>
    <w:uiPriority w:val="0"/>
    <w:rPr>
      <w:rFonts w:ascii="monospace" w:hAnsi="monospace" w:eastAsia="monospace" w:cs="monospace"/>
    </w:rPr>
  </w:style>
  <w:style w:type="paragraph" w:customStyle="1" w:styleId="43">
    <w:name w:val="_Style 12"/>
    <w:basedOn w:val="4"/>
    <w:next w:val="1"/>
    <w:qFormat/>
    <w:uiPriority w:val="0"/>
    <w:pPr>
      <w:outlineLvl w:val="9"/>
    </w:pPr>
  </w:style>
  <w:style w:type="character" w:customStyle="1" w:styleId="44">
    <w:name w:val="NormalCharacter"/>
    <w:qFormat/>
    <w:uiPriority w:val="0"/>
  </w:style>
  <w:style w:type="paragraph" w:customStyle="1" w:styleId="45">
    <w:name w:val="HtmlNormal"/>
    <w:basedOn w:val="1"/>
    <w:next w:val="13"/>
    <w:qFormat/>
    <w:uiPriority w:val="0"/>
    <w:pPr>
      <w:widowControl/>
      <w:spacing w:before="100" w:beforeAutospacing="1" w:after="100" w:afterAutospacing="1"/>
      <w:jc w:val="left"/>
      <w:textAlignment w:val="baseline"/>
    </w:pPr>
    <w:rPr>
      <w:rFonts w:ascii="宋体" w:eastAsia="宋体" w:cs="Times New Roman"/>
      <w:kern w:val="0"/>
      <w:sz w:val="24"/>
      <w:szCs w:val="24"/>
      <w:lang w:bidi="ar-SA"/>
    </w:rPr>
  </w:style>
  <w:style w:type="paragraph" w:customStyle="1" w:styleId="46">
    <w:name w:val="样式1"/>
    <w:basedOn w:val="1"/>
    <w:qFormat/>
    <w:uiPriority w:val="0"/>
    <w:pPr>
      <w:spacing w:before="120" w:after="120" w:line="300" w:lineRule="auto"/>
    </w:pPr>
    <w:rPr>
      <w:rFonts w:ascii="宋体" w:hAnsi="宋体"/>
      <w:b/>
      <w:sz w:val="24"/>
    </w:rPr>
  </w:style>
  <w:style w:type="paragraph" w:styleId="47">
    <w:name w:val="List Paragraph"/>
    <w:basedOn w:val="1"/>
    <w:qFormat/>
    <w:uiPriority w:val="1"/>
    <w:pPr>
      <w:ind w:left="911" w:firstLine="480"/>
    </w:pPr>
    <w:rPr>
      <w:rFonts w:ascii="宋体" w:hAnsi="宋体" w:eastAsia="宋体" w:cs="宋体"/>
      <w:lang w:val="zh-CN" w:eastAsia="zh-CN" w:bidi="zh-CN"/>
    </w:rPr>
  </w:style>
  <w:style w:type="paragraph" w:customStyle="1" w:styleId="48">
    <w:name w:val="Table Paragraph"/>
    <w:basedOn w:val="1"/>
    <w:qFormat/>
    <w:uiPriority w:val="1"/>
    <w:rPr>
      <w:rFonts w:ascii="宋体" w:hAnsi="宋体" w:eastAsia="宋体" w:cs="宋体"/>
      <w:lang w:val="zh-CN" w:eastAsia="zh-CN" w:bidi="zh-CN"/>
    </w:rPr>
  </w:style>
  <w:style w:type="character" w:customStyle="1" w:styleId="49">
    <w:name w:val="mini-outputtext1"/>
    <w:basedOn w:val="29"/>
    <w:qFormat/>
    <w:uiPriority w:val="0"/>
  </w:style>
  <w:style w:type="paragraph" w:customStyle="1" w:styleId="50">
    <w:name w:val="正文（缩进）"/>
    <w:basedOn w:val="1"/>
    <w:qFormat/>
    <w:uiPriority w:val="0"/>
    <w:pPr>
      <w:spacing w:before="50" w:after="50"/>
      <w:ind w:firstLine="200" w:firstLineChars="200"/>
    </w:p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标题1"/>
    <w:basedOn w:val="25"/>
    <w:qFormat/>
    <w:uiPriority w:val="0"/>
    <w:pPr>
      <w:widowControl/>
      <w:spacing w:after="240"/>
    </w:pPr>
    <w:rPr>
      <w:rFonts w:ascii="Arial" w:hAnsi="Arial"/>
      <w:spacing w:val="2"/>
      <w:sz w:val="24"/>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23957</Words>
  <Characters>26146</Characters>
  <Lines>0</Lines>
  <Paragraphs>0</Paragraphs>
  <TotalTime>341</TotalTime>
  <ScaleCrop>false</ScaleCrop>
  <LinksUpToDate>false</LinksUpToDate>
  <CharactersWithSpaces>27266</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2021-03-22T03:19:00Z</dcterms:created>
  <dc:creator>徐力军</dc:creator>
  <cp:lastModifiedBy>HP</cp:lastModifiedBy>
  <dcterms:modified xsi:type="dcterms:W3CDTF">2023-07-11T07:54:28Z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73A048045BB54C84B089AD3165C1EAE7</vt:lpwstr>
  </property>
</Properties>
</file>