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版本号：241204001</w:t>
      </w:r>
    </w:p>
    <w:p>
      <w:pPr>
        <w:pStyle w:val="null3"/>
        <w:jc w:val="left"/>
        <w:outlineLvl w:val="0"/>
      </w:pPr>
      <w:r>
        <w:rPr>
          <w:b/>
          <w:sz w:val="48"/>
        </w:rPr>
        <w:t>招 标 文 件</w:t>
      </w:r>
    </w:p>
    <w:p>
      <w:pPr>
        <w:pStyle w:val="null3"/>
        <w:jc w:val="center"/>
        <w:outlineLvl w:val="0"/>
      </w:pPr>
      <w:r>
        <w:rPr>
          <w:b/>
          <w:sz w:val="48"/>
        </w:rPr>
        <w:t>（服务类）</w:t>
      </w:r>
    </w:p>
    <w:p>
      <w:pPr>
        <w:pStyle w:val="null3"/>
        <w:jc w:val="left"/>
        <w:outlineLvl w:val="2"/>
      </w:pPr>
      <w:r>
        <w:rPr>
          <w:b/>
          <w:sz w:val="28"/>
        </w:rPr>
        <w:t>采购项目名称：</w:t>
      </w:r>
      <w:r>
        <w:rPr>
          <w:b/>
          <w:sz w:val="28"/>
        </w:rPr>
        <w:t>攀枝花市2025年度城乡居民大病保险及职工大额医疗费用补助政府采购项目</w:t>
      </w:r>
    </w:p>
    <w:p>
      <w:pPr>
        <w:pStyle w:val="null3"/>
        <w:jc w:val="center"/>
        <w:outlineLvl w:val="2"/>
      </w:pPr>
      <w:r>
        <w:rPr>
          <w:b/>
          <w:sz w:val="28"/>
        </w:rPr>
        <w:t>采购项目编号：</w:t>
      </w:r>
      <w:r>
        <w:rPr>
          <w:b/>
          <w:sz w:val="28"/>
        </w:rPr>
        <w:t>N5104012024000262</w:t>
      </w:r>
    </w:p>
    <w:p>
      <w:pPr>
        <w:pStyle w:val="null3"/>
        <w:jc w:val="left"/>
        <w:outlineLvl w:val="2"/>
      </w:pPr>
      <w:r>
        <w:rPr>
          <w:b/>
          <w:sz w:val="28"/>
        </w:rPr>
        <w:t>攀枝花市医疗保障事务中心</w:t>
      </w:r>
    </w:p>
    <w:p>
      <w:pPr>
        <w:pStyle w:val="null3"/>
        <w:jc w:val="center"/>
        <w:outlineLvl w:val="2"/>
      </w:pPr>
      <w:r>
        <w:rPr>
          <w:b/>
          <w:sz w:val="28"/>
        </w:rPr>
        <w:t>四川锦创全过程工程项目管理有限公司</w:t>
      </w:r>
      <w:r>
        <w:rPr>
          <w:b/>
          <w:sz w:val="28"/>
        </w:rPr>
        <w:t>共同编制</w:t>
      </w:r>
    </w:p>
    <w:p>
      <w:pPr>
        <w:pStyle w:val="null3"/>
        <w:jc w:val="center"/>
      </w:pPr>
      <w:r>
        <w:rPr/>
        <w:t>2024年12月04日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四川锦创全过程工程项目管理有限公司</w:t>
      </w:r>
      <w:r>
        <w:rPr/>
        <w:t xml:space="preserve"> （以下简称“代理机构”）受 </w:t>
      </w:r>
      <w:r>
        <w:rPr/>
        <w:t>攀枝花市医疗保障事务中心</w:t>
      </w:r>
      <w:r>
        <w:rPr/>
        <w:t xml:space="preserve"> 委托，拟对 </w:t>
      </w:r>
      <w:r>
        <w:rPr/>
        <w:t>攀枝花市2025年度城乡居民大病保险及职工大额医疗费用补助政府采购项目</w:t>
      </w:r>
      <w:r>
        <w:rPr/>
        <w:t xml:space="preserve"> 采用公开招标方式进行采购，兹邀请符合本次招标要求的供应商参加投标。本项目为四川省</w:t>
      </w:r>
      <w:r>
        <w:rPr/>
        <w:t>攀枝花市市本级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N5104012024000262</w:t>
      </w:r>
    </w:p>
    <w:p>
      <w:pPr>
        <w:pStyle w:val="null3"/>
        <w:jc w:val="left"/>
        <w:outlineLvl w:val="2"/>
      </w:pPr>
      <w:r>
        <w:rPr>
          <w:b/>
          <w:sz w:val="28"/>
        </w:rPr>
        <w:t>1.2.采购项目名称</w:t>
      </w:r>
      <w:r>
        <w:rPr>
          <w:b/>
          <w:sz w:val="28"/>
        </w:rPr>
        <w:t xml:space="preserve">： </w:t>
      </w:r>
      <w:r>
        <w:rPr>
          <w:b/>
          <w:sz w:val="28"/>
        </w:rPr>
        <w:t>攀枝花市2025年度城乡居民大病保险及职工大额医疗费用补助政府采购项目</w:t>
      </w:r>
    </w:p>
    <w:p>
      <w:pPr>
        <w:pStyle w:val="null3"/>
        <w:jc w:val="left"/>
        <w:outlineLvl w:val="2"/>
      </w:pPr>
      <w:r>
        <w:rPr>
          <w:b/>
          <w:sz w:val="28"/>
        </w:rPr>
        <w:t>1.3.招标项目简介</w:t>
      </w:r>
    </w:p>
    <w:p>
      <w:pPr>
        <w:pStyle w:val="null3"/>
        <w:ind w:firstLine="480"/>
        <w:jc w:val="left"/>
      </w:pPr>
      <w:r>
        <w:rPr/>
        <w:t>本项目一个包，采购城乡居民大病保险和职工大额医疗费用补助服务一项</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投标管理（描述：对于未区分标段的同一大病保险招标项目或一个大病保险标段，同一保险集团公司参与投标的子公司仅限一家。(若同一保险集团公司参与投标的子公司有多家，则该包参与投标的子公司均视为不满足此条要求)|(提供承诺函，格式自拟））</w:t>
      </w:r>
    </w:p>
    <w:p>
      <w:pPr>
        <w:pStyle w:val="null3"/>
        <w:jc w:val="left"/>
      </w:pPr>
      <w:r>
        <w:rPr/>
        <w:t>2、投标人应具有城乡居民大病保险承保资质。（描述：①提供有效的《经营保险业务许可证》并进行电子签章（如为分公司参与采购活动的，其总公司应具有有效的《经营保险业务许可证》，并提供授权分公司开展大病保险业务的相关证明材料）。②投标人是2023年7月6日《四川银保监局关于调整符合大病保险经营条件的保险公司省级机构名单的公示》单位。）</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攀枝花市医疗保障事务中心</w:t>
      </w:r>
    </w:p>
    <w:p>
      <w:pPr>
        <w:pStyle w:val="null3"/>
        <w:ind w:firstLine="480"/>
        <w:jc w:val="left"/>
      </w:pPr>
      <w:r>
        <w:rPr/>
        <w:t xml:space="preserve"> 地址： </w:t>
      </w:r>
      <w:r>
        <w:rPr/>
        <w:t>攀枝花市仁和区三线博物馆旁攀西科技城新政务中心</w:t>
      </w:r>
    </w:p>
    <w:p>
      <w:pPr>
        <w:pStyle w:val="null3"/>
        <w:jc w:val="left"/>
      </w:pPr>
      <w:r>
        <w:rPr/>
        <w:t xml:space="preserve"> 邮编： </w:t>
      </w:r>
      <w:r>
        <w:rPr/>
        <w:t>617000</w:t>
      </w:r>
    </w:p>
    <w:p>
      <w:pPr>
        <w:pStyle w:val="null3"/>
        <w:jc w:val="left"/>
      </w:pPr>
      <w:r>
        <w:rPr/>
        <w:t xml:space="preserve"> 联系人： </w:t>
      </w:r>
      <w:r>
        <w:rPr/>
        <w:t>汤女士</w:t>
      </w:r>
    </w:p>
    <w:p>
      <w:pPr>
        <w:pStyle w:val="null3"/>
        <w:jc w:val="left"/>
      </w:pPr>
      <w:r>
        <w:rPr/>
        <w:t xml:space="preserve"> 联系电话： </w:t>
      </w:r>
      <w:r>
        <w:rPr/>
        <w:t>0812-3886636</w:t>
      </w:r>
    </w:p>
    <w:p>
      <w:pPr>
        <w:pStyle w:val="null3"/>
        <w:ind w:firstLine="480"/>
        <w:jc w:val="left"/>
      </w:pPr>
      <w:r>
        <w:rPr>
          <w:b/>
        </w:rPr>
        <w:t>代理机构</w:t>
      </w:r>
      <w:r>
        <w:rPr>
          <w:b/>
        </w:rPr>
        <w:t xml:space="preserve">： </w:t>
      </w:r>
      <w:r>
        <w:rPr>
          <w:b/>
        </w:rPr>
        <w:t>四川锦创全过程工程项目管理有限公司</w:t>
      </w:r>
    </w:p>
    <w:p>
      <w:pPr>
        <w:pStyle w:val="null3"/>
        <w:ind w:firstLine="480"/>
        <w:jc w:val="left"/>
      </w:pPr>
      <w:r>
        <w:rPr/>
        <w:t xml:space="preserve"> 地址： </w:t>
      </w:r>
      <w:r>
        <w:rPr/>
        <w:t>四川省成都市成都市高新区中国（四川）自由贸易试验区成都高新区府城大道西段399号9栋14层7号</w:t>
      </w:r>
    </w:p>
    <w:p>
      <w:pPr>
        <w:pStyle w:val="null3"/>
        <w:jc w:val="left"/>
      </w:pPr>
      <w:r>
        <w:rPr/>
        <w:t xml:space="preserve"> 邮编： </w:t>
      </w:r>
      <w:r>
        <w:rPr/>
        <w:t>617000</w:t>
      </w:r>
    </w:p>
    <w:p>
      <w:pPr>
        <w:pStyle w:val="null3"/>
        <w:jc w:val="left"/>
      </w:pPr>
      <w:r>
        <w:rPr/>
        <w:t xml:space="preserve"> 联系人： </w:t>
      </w:r>
      <w:r>
        <w:rPr/>
        <w:t>马先生</w:t>
      </w:r>
    </w:p>
    <w:p>
      <w:pPr>
        <w:pStyle w:val="null3"/>
        <w:jc w:val="left"/>
      </w:pPr>
      <w:r>
        <w:rPr/>
        <w:t xml:space="preserve"> 联系电话： </w:t>
      </w:r>
      <w:r>
        <w:rPr/>
        <w:t>18582450920</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采购包1：140,000,000.00元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代理服务费用收取对象：中标人</w:t>
            </w:r>
          </w:p>
          <w:p>
            <w:pPr>
              <w:pStyle w:val="null3"/>
              <w:jc w:val="left"/>
            </w:pPr>
            <w:r>
              <w:rPr/>
              <w:t>代理服务费收费标准：按照《四川省政府采购营商环境指标提升专项行动工作方案》中“成本+合理利润”原则及与采购人签订的委托代理协议之相关规定，服务费以定额收取，按照固定金额10万元收取。代理服务费由中标人承担，中标人领取中标通知书前，应向采购代理机构交纳采购代理服务费。 收款单位：四川锦创全过程工程项目管理有限公司攀枝花东区分公司 开户银行：四川银行股份有限公司攀枝花炳草岗支行 账号：77220100054955822</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不组织</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攀枝花市医疗保障事务中心</w:t>
      </w:r>
      <w:r>
        <w:rPr/>
        <w:t xml:space="preserve"> 和 </w:t>
      </w:r>
      <w:r>
        <w:rPr/>
        <w:t>四川锦创全过程工程项目管理有限公司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攀枝花市医疗保障事务中心</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四川锦创全过程工程项目管理有限公司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pPr>
      <w:r>
        <w:rPr>
          <w:b/>
        </w:rPr>
        <w:t>2.5.1.2.开标程序</w:t>
      </w:r>
    </w:p>
    <w:p>
      <w:pPr>
        <w:pStyle w:val="null3"/>
        <w:ind w:firstLine="480"/>
        <w:jc w:val="left"/>
      </w:pPr>
      <w:r>
        <w:rPr/>
        <w:t>投标截止时间后，通过交易系统“开标/开启大厅”网上开标，在线解密投标文件。</w:t>
      </w:r>
    </w:p>
    <w:p>
      <w:pPr>
        <w:pStyle w:val="null3"/>
        <w:jc w:val="left"/>
      </w:pPr>
      <w:r>
        <w:rPr>
          <w:b/>
        </w:rPr>
        <w:t>2.5.1.3.解密投标文件★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b/>
        </w:rPr>
        <w:t>2.5.1.4.有关要求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按国家有关规定、招标文件的质量要求和技术指标、中标人的投标文件及承诺以及合同约定标准进行验收。其他未尽事宜将按照《财政部关于进一步加强政府采购需求和履约验收管理的指导意见》(财库(2016) 205号)规定的标准、方法和内容进行验收</w:t>
      </w:r>
      <w:r>
        <w:rPr/>
        <w:t xml:space="preserve"> ，达到验收条件起 </w:t>
      </w:r>
      <w:r>
        <w:rPr/>
        <w:t>30</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按照本项目招标文件中“技术、服务要求”及中标人投标文件进行验收。</w:t>
      </w:r>
    </w:p>
    <w:p>
      <w:pPr>
        <w:pStyle w:val="null3"/>
        <w:ind w:firstLine="480"/>
        <w:jc w:val="left"/>
      </w:pPr>
      <w:r>
        <w:rPr/>
        <w:t>十、商务履约验收内容：</w:t>
      </w:r>
    </w:p>
    <w:p>
      <w:pPr>
        <w:pStyle w:val="null3"/>
        <w:ind w:firstLine="480"/>
        <w:jc w:val="left"/>
      </w:pPr>
      <w:r>
        <w:rPr/>
        <w:t>采购包1：</w:t>
      </w:r>
      <w:r>
        <w:rPr/>
        <w:t>按照本项目招标文件中“商务要求”及中标人投标文件进行验收。</w:t>
      </w:r>
    </w:p>
    <w:p>
      <w:pPr>
        <w:pStyle w:val="null3"/>
        <w:ind w:firstLine="480"/>
        <w:jc w:val="left"/>
      </w:pPr>
      <w:r>
        <w:rPr/>
        <w:t>十一、履约验收标准：</w:t>
      </w:r>
    </w:p>
    <w:p>
      <w:pPr>
        <w:pStyle w:val="null3"/>
        <w:ind w:firstLine="480"/>
        <w:jc w:val="left"/>
      </w:pPr>
      <w:r>
        <w:rPr/>
        <w:t>采购包1：</w:t>
      </w:r>
      <w:r>
        <w:rPr/>
        <w:t>按国家有关规定、招标文件的质量要求和技术指标、中标人的投标文件及承诺以及合同约定标准进行验收。其他未尽事宜将按照《财政部关于进一步加强政府采购需求和履约验收管理的指导意见》(财库(2016) 205号)规定的标准、方法和内容进行验收。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攀枝花市医疗保障事务中心</w:t>
      </w:r>
      <w:r>
        <w:rPr/>
        <w:t xml:space="preserve"> 负责答复；投标人对除采购需求外的招标文件的询问、质疑由 </w:t>
      </w:r>
      <w:r>
        <w:rPr/>
        <w:t>四川锦创全过程工程项目管理有限公司</w:t>
      </w:r>
      <w:r>
        <w:rPr/>
        <w:t xml:space="preserve"> 负责答复；投标人对采购过程、采购结果的询问、质疑由 </w:t>
      </w:r>
      <w:r>
        <w:rPr/>
        <w:t>四川锦创全过程工程项目管理有限公司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联系人：汤女士</w:t>
      </w:r>
    </w:p>
    <w:p>
      <w:pPr>
        <w:pStyle w:val="null3"/>
        <w:jc w:val="left"/>
      </w:pPr>
      <w:r>
        <w:rPr/>
        <w:t>联系电话：0812-3886636</w:t>
      </w:r>
    </w:p>
    <w:p>
      <w:pPr>
        <w:pStyle w:val="null3"/>
        <w:jc w:val="left"/>
      </w:pPr>
      <w:r>
        <w:rPr/>
        <w:t>地址：攀枝花市仁和区三线博物馆旁攀西科技城新政务中心</w:t>
      </w:r>
    </w:p>
    <w:p>
      <w:pPr>
        <w:pStyle w:val="null3"/>
        <w:jc w:val="left"/>
      </w:pPr>
      <w:r>
        <w:rPr/>
        <w:t>邮编：617000</w:t>
      </w:r>
    </w:p>
    <w:p>
      <w:pPr>
        <w:pStyle w:val="null3"/>
        <w:jc w:val="left"/>
      </w:pPr>
      <w:r>
        <w:rPr/>
        <w:t>答复主体：代理机构</w:t>
      </w:r>
    </w:p>
    <w:p>
      <w:pPr>
        <w:pStyle w:val="null3"/>
        <w:jc w:val="left"/>
      </w:pPr>
      <w:r>
        <w:rPr/>
        <w:t>联系人：马先生</w:t>
      </w:r>
    </w:p>
    <w:p>
      <w:pPr>
        <w:pStyle w:val="null3"/>
        <w:jc w:val="left"/>
      </w:pPr>
      <w:r>
        <w:rPr/>
        <w:t>联系电话：18582450920</w:t>
      </w:r>
    </w:p>
    <w:p>
      <w:pPr>
        <w:pStyle w:val="null3"/>
        <w:jc w:val="left"/>
      </w:pPr>
      <w:r>
        <w:rPr/>
        <w:t>地址：攀枝花市东区奥林匹克北路8号D座3楼（攀枝花现代服务业产业园）C 区 20、22、24、26 号</w:t>
      </w:r>
    </w:p>
    <w:p>
      <w:pPr>
        <w:pStyle w:val="null3"/>
        <w:jc w:val="left"/>
      </w:pPr>
      <w:r>
        <w:rPr/>
        <w:t>邮编：617000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（三）对中标结果提出质疑的，为中标结果公告期限届满之日。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140,000,000.00</w:t>
      </w:r>
    </w:p>
    <w:p>
      <w:pPr>
        <w:pStyle w:val="null3"/>
        <w:jc w:val="left"/>
      </w:pPr>
      <w:r>
        <w:rPr/>
        <w:t>采购包最高限价（元）: 140,000,000.00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其他社会保障服务</w:t>
            </w:r>
          </w:p>
        </w:tc>
        <w:tc>
          <w:tcPr>
            <w:tcW w:type="dxa" w:w="821"/>
          </w:tcPr>
          <w:p>
            <w:pPr>
              <w:pStyle w:val="null3"/>
              <w:jc w:val="left"/>
            </w:pPr>
            <w:r>
              <w:rPr/>
              <w:t>攀枝花市2025年度城乡居民大病保险及职工大额医疗费用补助</w:t>
            </w:r>
          </w:p>
        </w:tc>
        <w:tc>
          <w:tcPr>
            <w:tcW w:type="dxa" w:w="821"/>
          </w:tcPr>
          <w:p>
            <w:pPr>
              <w:pStyle w:val="null3"/>
              <w:jc w:val="right"/>
            </w:pPr>
            <w:r>
              <w:rPr/>
              <w:t>1.00（年）</w:t>
            </w:r>
          </w:p>
        </w:tc>
        <w:tc>
          <w:tcPr>
            <w:tcW w:type="dxa" w:w="821"/>
          </w:tcPr>
          <w:p>
            <w:pPr>
              <w:pStyle w:val="null3"/>
              <w:jc w:val="right"/>
            </w:pPr>
            <w:r>
              <w:rPr/>
              <w:t>140,000,000.00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攀枝花市2025年度城乡居民大病保险及职工大额医疗费用补助</w:t>
            </w:r>
          </w:p>
        </w:tc>
        <w:tc>
          <w:tcPr>
            <w:tcW w:type="dxa" w:w="977"/>
          </w:tcPr>
          <w:p>
            <w:pPr>
              <w:pStyle w:val="null3"/>
              <w:jc w:val="right"/>
            </w:pPr>
            <w:r>
              <w:rPr/>
              <w:t>1.00（年）</w:t>
            </w:r>
          </w:p>
        </w:tc>
        <w:tc>
          <w:tcPr>
            <w:tcW w:type="dxa" w:w="1173"/>
          </w:tcPr>
          <w:p>
            <w:pPr>
              <w:pStyle w:val="null3"/>
              <w:jc w:val="right"/>
            </w:pPr>
            <w:r>
              <w:rPr/>
              <w:t>140,000,000（元）</w:t>
            </w:r>
          </w:p>
        </w:tc>
        <w:tc>
          <w:tcPr>
            <w:tcW w:type="dxa" w:w="1173"/>
          </w:tcPr>
          <w:p>
            <w:pPr>
              <w:pStyle w:val="null3"/>
              <w:jc w:val="right"/>
            </w:pPr>
            <w:r>
              <w:rPr/>
              <w:t>140,000,000.00</w:t>
            </w:r>
          </w:p>
        </w:tc>
        <w:tc>
          <w:tcPr>
            <w:tcW w:type="dxa" w:w="977"/>
          </w:tcPr>
          <w:p>
            <w:pPr>
              <w:pStyle w:val="null3"/>
              <w:jc w:val="left"/>
            </w:pPr>
            <w:r>
              <w:rPr/>
              <w:t>总价</w:t>
            </w:r>
          </w:p>
        </w:tc>
        <w:tc>
          <w:tcPr>
            <w:tcW w:type="dxa" w:w="1661"/>
          </w:tcPr>
          <w:p>
            <w:pPr>
              <w:pStyle w:val="null3"/>
              <w:jc w:val="left"/>
            </w:pPr>
            <w:r>
              <w:rPr/>
              <w:t>投标人报价不得低于2024年的政策标准，因系统固化限制，投标人报价须参照附件报价明细表格式进行报价。①城乡居民大病保险按年报价（如：50元/人/年）；②城镇职工大额补助保险按月报价（如：15元/人/月）。本项目为固定单价合同，投标人报价应是完成本项目要求的全部工作内容的价格体现。 单价最高限价： 城乡居民大病保险：60元/人/年 城镇职工大额补助保险：20元/人/月</w:t>
            </w:r>
          </w:p>
        </w:tc>
      </w:tr>
    </w:tbl>
    <w:p>
      <w:pPr>
        <w:pStyle w:val="null3"/>
        <w:ind w:firstLine="480"/>
        <w:jc w:val="left"/>
      </w:pPr>
      <w:r>
        <w:rPr/>
        <w:t>★注：采购包涉及采购货物的，投标人响应产品应当明确品牌和规格型号并指向唯一产品，不能指向唯一产品的，应通过报价表唯一产品说明栏补充说明。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标的名称：攀枝花市2025年度城乡居民大病保险及职工大额医疗费用补助</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ind w:firstLine="380"/>
              <w:jc w:val="left"/>
            </w:pPr>
            <w:r>
              <w:rPr>
                <w:rFonts w:ascii="宋体" w:hAnsi="宋体" w:cs="宋体" w:eastAsia="宋体"/>
                <w:color w:val="000000"/>
                <w:sz w:val="19"/>
              </w:rPr>
              <w:t>（一）赔付办法：</w:t>
            </w:r>
          </w:p>
          <w:p>
            <w:pPr>
              <w:pStyle w:val="null3"/>
              <w:ind w:firstLine="380"/>
              <w:jc w:val="left"/>
            </w:pPr>
            <w:r>
              <w:rPr>
                <w:rFonts w:ascii="宋体" w:hAnsi="宋体" w:cs="宋体" w:eastAsia="宋体"/>
                <w:color w:val="000000"/>
                <w:sz w:val="19"/>
              </w:rPr>
              <w:t>1.城乡居民大病保险：参保居民在一个保险年度内住院（含门特一类和特药）的基本医保符合范围减去基本医保报销后的剩余部分（下称大病赔付范围）累计计算、分段设置赔付比例、按次结算赔付。</w:t>
            </w:r>
          </w:p>
          <w:p>
            <w:pPr>
              <w:pStyle w:val="null3"/>
              <w:ind w:firstLine="380"/>
              <w:jc w:val="left"/>
            </w:pPr>
            <w:r>
              <w:rPr>
                <w:rFonts w:ascii="宋体" w:hAnsi="宋体" w:cs="宋体" w:eastAsia="宋体"/>
                <w:color w:val="000000"/>
                <w:sz w:val="19"/>
              </w:rPr>
              <w:t>（</w:t>
            </w:r>
            <w:r>
              <w:rPr>
                <w:rFonts w:ascii="宋体" w:hAnsi="宋体" w:cs="宋体" w:eastAsia="宋体"/>
                <w:color w:val="000000"/>
                <w:sz w:val="19"/>
              </w:rPr>
              <w:t>1）起付线。大病保险起付线原则上为统筹区内上年度城乡居民人均可支配收入（由于时间差，实际使用的为上上年度人均可支配收入）的50%，特困人员、低保对象起付线标准降低50%,具体标准由</w:t>
            </w:r>
            <w:r>
              <w:rPr>
                <w:rFonts w:ascii="宋体" w:hAnsi="宋体" w:cs="宋体" w:eastAsia="宋体"/>
                <w:color w:val="000000"/>
                <w:sz w:val="19"/>
              </w:rPr>
              <w:t>攀枝花</w:t>
            </w:r>
            <w:r>
              <w:rPr>
                <w:rFonts w:ascii="宋体" w:hAnsi="宋体" w:cs="宋体" w:eastAsia="宋体"/>
                <w:color w:val="000000"/>
                <w:sz w:val="19"/>
              </w:rPr>
              <w:t>市</w:t>
            </w:r>
            <w:r>
              <w:rPr>
                <w:rFonts w:ascii="宋体" w:hAnsi="宋体" w:cs="宋体" w:eastAsia="宋体"/>
                <w:color w:val="000000"/>
                <w:sz w:val="19"/>
              </w:rPr>
              <w:t>医疗保障局公布。</w:t>
            </w:r>
          </w:p>
          <w:p>
            <w:pPr>
              <w:pStyle w:val="null3"/>
              <w:ind w:firstLine="380"/>
              <w:jc w:val="left"/>
            </w:pPr>
            <w:r>
              <w:rPr>
                <w:rFonts w:ascii="宋体" w:hAnsi="宋体" w:cs="宋体" w:eastAsia="宋体"/>
                <w:color w:val="000000"/>
                <w:sz w:val="19"/>
              </w:rPr>
              <w:t>（</w:t>
            </w:r>
            <w:r>
              <w:rPr>
                <w:rFonts w:ascii="宋体" w:hAnsi="宋体" w:cs="宋体" w:eastAsia="宋体"/>
                <w:color w:val="000000"/>
                <w:sz w:val="19"/>
              </w:rPr>
              <w:t>2）</w:t>
            </w:r>
            <w:r>
              <w:rPr>
                <w:rFonts w:ascii="宋体" w:hAnsi="宋体" w:cs="宋体" w:eastAsia="宋体"/>
                <w:color w:val="000000"/>
                <w:sz w:val="19"/>
              </w:rPr>
              <w:t>赔付比例</w:t>
            </w:r>
            <w:r>
              <w:rPr>
                <w:rFonts w:ascii="宋体" w:hAnsi="宋体" w:cs="宋体" w:eastAsia="宋体"/>
                <w:color w:val="000000"/>
                <w:sz w:val="19"/>
              </w:rPr>
              <w:t>。大病赔付范围起付线以上部分实行分段赔付：</w:t>
            </w:r>
          </w:p>
          <w:p>
            <w:pPr>
              <w:pStyle w:val="null3"/>
              <w:ind w:firstLine="380"/>
              <w:jc w:val="left"/>
            </w:pPr>
            <w:r>
              <w:rPr>
                <w:rFonts w:ascii="宋体" w:hAnsi="宋体" w:cs="宋体" w:eastAsia="宋体"/>
                <w:color w:val="000000"/>
                <w:sz w:val="19"/>
              </w:rPr>
              <w:t>①</w:t>
            </w:r>
            <w:r>
              <w:rPr>
                <w:rFonts w:ascii="宋体" w:hAnsi="宋体" w:cs="宋体" w:eastAsia="宋体"/>
                <w:color w:val="000000"/>
                <w:sz w:val="19"/>
              </w:rPr>
              <w:t>大病保险一段：</w:t>
            </w:r>
            <w:r>
              <w:rPr>
                <w:rFonts w:ascii="宋体" w:hAnsi="宋体" w:cs="宋体" w:eastAsia="宋体"/>
                <w:color w:val="000000"/>
                <w:sz w:val="19"/>
              </w:rPr>
              <w:t>2万元</w:t>
            </w:r>
            <w:r>
              <w:rPr>
                <w:rFonts w:ascii="宋体" w:hAnsi="宋体" w:cs="宋体" w:eastAsia="宋体"/>
                <w:color w:val="000000"/>
                <w:sz w:val="19"/>
              </w:rPr>
              <w:t>（</w:t>
            </w:r>
            <w:r>
              <w:rPr>
                <w:rFonts w:ascii="宋体" w:hAnsi="宋体" w:cs="宋体" w:eastAsia="宋体"/>
                <w:color w:val="000000"/>
                <w:sz w:val="19"/>
              </w:rPr>
              <w:t>含</w:t>
            </w:r>
            <w:r>
              <w:rPr>
                <w:rFonts w:ascii="宋体" w:hAnsi="宋体" w:cs="宋体" w:eastAsia="宋体"/>
                <w:color w:val="000000"/>
                <w:sz w:val="19"/>
              </w:rPr>
              <w:t>2</w:t>
            </w:r>
            <w:r>
              <w:rPr>
                <w:rFonts w:ascii="宋体" w:hAnsi="宋体" w:cs="宋体" w:eastAsia="宋体"/>
                <w:color w:val="000000"/>
                <w:sz w:val="19"/>
              </w:rPr>
              <w:t>万元</w:t>
            </w:r>
            <w:r>
              <w:rPr>
                <w:rFonts w:ascii="宋体" w:hAnsi="宋体" w:cs="宋体" w:eastAsia="宋体"/>
                <w:color w:val="000000"/>
                <w:sz w:val="19"/>
              </w:rPr>
              <w:t>）</w:t>
            </w:r>
            <w:r>
              <w:rPr>
                <w:rFonts w:ascii="宋体" w:hAnsi="宋体" w:cs="宋体" w:eastAsia="宋体"/>
                <w:color w:val="000000"/>
                <w:sz w:val="19"/>
              </w:rPr>
              <w:t>以下部分赔付比例为</w:t>
            </w:r>
            <w:r>
              <w:rPr>
                <w:rFonts w:ascii="宋体" w:hAnsi="宋体" w:cs="宋体" w:eastAsia="宋体"/>
                <w:color w:val="000000"/>
                <w:sz w:val="19"/>
              </w:rPr>
              <w:t>60%；</w:t>
            </w:r>
          </w:p>
          <w:p>
            <w:pPr>
              <w:pStyle w:val="null3"/>
              <w:ind w:firstLine="380"/>
              <w:jc w:val="left"/>
            </w:pPr>
            <w:r>
              <w:rPr>
                <w:rFonts w:ascii="宋体" w:hAnsi="宋体" w:cs="宋体" w:eastAsia="宋体"/>
                <w:color w:val="000000"/>
                <w:sz w:val="19"/>
              </w:rPr>
              <w:t>②</w:t>
            </w:r>
            <w:r>
              <w:rPr>
                <w:rFonts w:ascii="宋体" w:hAnsi="宋体" w:cs="宋体" w:eastAsia="宋体"/>
                <w:color w:val="000000"/>
                <w:sz w:val="19"/>
              </w:rPr>
              <w:t>大病</w:t>
            </w:r>
            <w:r>
              <w:rPr>
                <w:rFonts w:ascii="宋体" w:hAnsi="宋体" w:cs="宋体" w:eastAsia="宋体"/>
                <w:color w:val="000000"/>
                <w:sz w:val="19"/>
              </w:rPr>
              <w:t>保险</w:t>
            </w:r>
            <w:r>
              <w:rPr>
                <w:rFonts w:ascii="宋体" w:hAnsi="宋体" w:cs="宋体" w:eastAsia="宋体"/>
                <w:color w:val="000000"/>
                <w:sz w:val="19"/>
              </w:rPr>
              <w:t>二段：</w:t>
            </w:r>
            <w:r>
              <w:rPr>
                <w:rFonts w:ascii="宋体" w:hAnsi="宋体" w:cs="宋体" w:eastAsia="宋体"/>
                <w:color w:val="000000"/>
                <w:sz w:val="19"/>
              </w:rPr>
              <w:t>2万元以上部分赔付比例为65%</w:t>
            </w:r>
            <w:r>
              <w:rPr>
                <w:rFonts w:ascii="宋体" w:hAnsi="宋体" w:cs="宋体" w:eastAsia="宋体"/>
                <w:color w:val="000000"/>
                <w:sz w:val="19"/>
              </w:rPr>
              <w:t>；</w:t>
            </w:r>
          </w:p>
          <w:p>
            <w:pPr>
              <w:pStyle w:val="null3"/>
              <w:ind w:firstLine="380"/>
              <w:jc w:val="left"/>
            </w:pPr>
            <w:r>
              <w:rPr>
                <w:rFonts w:ascii="宋体" w:hAnsi="宋体" w:cs="宋体" w:eastAsia="宋体"/>
                <w:color w:val="000000"/>
                <w:sz w:val="19"/>
              </w:rPr>
              <w:t>③</w:t>
            </w:r>
            <w:r>
              <w:rPr>
                <w:rFonts w:ascii="宋体" w:hAnsi="宋体" w:cs="宋体" w:eastAsia="宋体"/>
                <w:color w:val="000000"/>
                <w:sz w:val="19"/>
              </w:rPr>
              <w:t>特困人员、孤儿、低保对象赔付比例提高</w:t>
            </w:r>
            <w:r>
              <w:rPr>
                <w:rFonts w:ascii="宋体" w:hAnsi="宋体" w:cs="宋体" w:eastAsia="宋体"/>
                <w:color w:val="000000"/>
                <w:sz w:val="19"/>
              </w:rPr>
              <w:t>5个百分点</w:t>
            </w:r>
            <w:r>
              <w:rPr>
                <w:rFonts w:ascii="宋体" w:hAnsi="宋体" w:cs="宋体" w:eastAsia="宋体"/>
                <w:color w:val="000000"/>
                <w:sz w:val="19"/>
              </w:rPr>
              <w:t>；</w:t>
            </w:r>
          </w:p>
          <w:p>
            <w:pPr>
              <w:pStyle w:val="null3"/>
              <w:ind w:firstLine="380"/>
              <w:jc w:val="left"/>
            </w:pPr>
            <w:r>
              <w:rPr>
                <w:rFonts w:ascii="宋体" w:hAnsi="宋体" w:cs="宋体" w:eastAsia="宋体"/>
                <w:color w:val="000000"/>
                <w:sz w:val="19"/>
              </w:rPr>
              <w:t>④</w:t>
            </w:r>
            <w:r>
              <w:rPr>
                <w:rFonts w:ascii="宋体" w:hAnsi="宋体" w:cs="宋体" w:eastAsia="宋体"/>
                <w:color w:val="000000"/>
                <w:sz w:val="19"/>
              </w:rPr>
              <w:t>办理了</w:t>
            </w:r>
            <w:r>
              <w:rPr>
                <w:rFonts w:ascii="宋体" w:hAnsi="宋体" w:cs="宋体" w:eastAsia="宋体"/>
                <w:color w:val="000000"/>
                <w:sz w:val="19"/>
              </w:rPr>
              <w:t>异地</w:t>
            </w:r>
            <w:r>
              <w:rPr>
                <w:rFonts w:ascii="宋体" w:hAnsi="宋体" w:cs="宋体" w:eastAsia="宋体"/>
                <w:color w:val="000000"/>
                <w:sz w:val="19"/>
              </w:rPr>
              <w:t>就医</w:t>
            </w:r>
            <w:r>
              <w:rPr>
                <w:rFonts w:ascii="宋体" w:hAnsi="宋体" w:cs="宋体" w:eastAsia="宋体"/>
                <w:color w:val="000000"/>
                <w:sz w:val="19"/>
              </w:rPr>
              <w:t>备案</w:t>
            </w:r>
            <w:r>
              <w:rPr>
                <w:rFonts w:ascii="宋体" w:hAnsi="宋体" w:cs="宋体" w:eastAsia="宋体"/>
                <w:color w:val="000000"/>
                <w:sz w:val="19"/>
              </w:rPr>
              <w:t>的，按相关规定结算赔付。</w:t>
            </w:r>
          </w:p>
          <w:p>
            <w:pPr>
              <w:pStyle w:val="null3"/>
              <w:ind w:firstLine="380"/>
              <w:jc w:val="left"/>
            </w:pPr>
            <w:r>
              <w:rPr>
                <w:rFonts w:ascii="宋体" w:hAnsi="宋体" w:cs="宋体" w:eastAsia="宋体"/>
                <w:color w:val="000000"/>
                <w:sz w:val="19"/>
              </w:rPr>
              <w:t>（</w:t>
            </w:r>
            <w:r>
              <w:rPr>
                <w:rFonts w:ascii="宋体" w:hAnsi="宋体" w:cs="宋体" w:eastAsia="宋体"/>
                <w:color w:val="000000"/>
                <w:sz w:val="19"/>
              </w:rPr>
              <w:t>3）赔付限额。</w:t>
            </w:r>
            <w:r>
              <w:rPr>
                <w:rFonts w:ascii="宋体" w:hAnsi="宋体" w:cs="宋体" w:eastAsia="宋体"/>
                <w:color w:val="000000"/>
                <w:sz w:val="19"/>
              </w:rPr>
              <w:t>城乡</w:t>
            </w:r>
            <w:r>
              <w:rPr>
                <w:rFonts w:ascii="宋体" w:hAnsi="宋体" w:cs="宋体" w:eastAsia="宋体"/>
                <w:color w:val="000000"/>
                <w:sz w:val="19"/>
              </w:rPr>
              <w:t>居民</w:t>
            </w:r>
            <w:r>
              <w:rPr>
                <w:rFonts w:ascii="宋体" w:hAnsi="宋体" w:cs="宋体" w:eastAsia="宋体"/>
                <w:color w:val="000000"/>
                <w:sz w:val="19"/>
              </w:rPr>
              <w:t>大病保险年度赔付限额以省、市公布的政策为准。</w:t>
            </w:r>
          </w:p>
          <w:p>
            <w:pPr>
              <w:pStyle w:val="null3"/>
              <w:ind w:firstLine="380"/>
              <w:jc w:val="left"/>
            </w:pPr>
            <w:r>
              <w:rPr>
                <w:rFonts w:ascii="宋体" w:hAnsi="宋体" w:cs="宋体" w:eastAsia="宋体"/>
                <w:color w:val="000000"/>
                <w:sz w:val="19"/>
              </w:rPr>
              <w:t>2.职工大额医疗费用补助：参保职工在一个保险年度内住院（含门特一类和特药）的基本医保符合范围减去基本医保报销后的剩余部分（下称大额赔付范围）累计计算、分段设置赔付比例、按次结算赔付。</w:t>
            </w:r>
            <w:r>
              <w:rPr>
                <w:rFonts w:ascii="宋体" w:hAnsi="宋体" w:cs="宋体" w:eastAsia="宋体"/>
                <w:color w:val="000000"/>
                <w:sz w:val="19"/>
              </w:rPr>
              <w:t>根据运行情况，采购人与</w:t>
            </w:r>
            <w:r>
              <w:rPr>
                <w:rFonts w:ascii="宋体" w:hAnsi="宋体" w:cs="宋体" w:eastAsia="宋体"/>
                <w:color w:val="000000"/>
                <w:sz w:val="19"/>
              </w:rPr>
              <w:t>承保</w:t>
            </w:r>
            <w:r>
              <w:rPr>
                <w:rFonts w:ascii="宋体" w:hAnsi="宋体" w:cs="宋体" w:eastAsia="宋体"/>
                <w:color w:val="000000"/>
                <w:sz w:val="19"/>
              </w:rPr>
              <w:t>公司</w:t>
            </w:r>
            <w:r>
              <w:rPr>
                <w:rFonts w:ascii="宋体" w:hAnsi="宋体" w:cs="宋体" w:eastAsia="宋体"/>
                <w:color w:val="000000"/>
                <w:sz w:val="19"/>
              </w:rPr>
              <w:t>可协商对大额赔付范围</w:t>
            </w:r>
            <w:r>
              <w:rPr>
                <w:rFonts w:ascii="宋体" w:hAnsi="宋体" w:cs="宋体" w:eastAsia="宋体"/>
                <w:color w:val="000000"/>
                <w:sz w:val="19"/>
              </w:rPr>
              <w:t>分段标准和比例</w:t>
            </w:r>
            <w:r>
              <w:rPr>
                <w:rFonts w:ascii="宋体" w:hAnsi="宋体" w:cs="宋体" w:eastAsia="宋体"/>
                <w:color w:val="000000"/>
                <w:sz w:val="19"/>
              </w:rPr>
              <w:t>进行适时</w:t>
            </w:r>
            <w:r>
              <w:rPr>
                <w:rFonts w:ascii="宋体" w:hAnsi="宋体" w:cs="宋体" w:eastAsia="宋体"/>
                <w:color w:val="000000"/>
                <w:sz w:val="19"/>
              </w:rPr>
              <w:t>调整。</w:t>
            </w:r>
          </w:p>
          <w:p>
            <w:pPr>
              <w:pStyle w:val="null3"/>
              <w:ind w:firstLine="380"/>
              <w:jc w:val="left"/>
            </w:pPr>
            <w:r>
              <w:rPr>
                <w:rFonts w:ascii="宋体" w:hAnsi="宋体" w:cs="宋体" w:eastAsia="宋体"/>
                <w:color w:val="000000"/>
                <w:sz w:val="19"/>
              </w:rPr>
              <w:t>（</w:t>
            </w:r>
            <w:r>
              <w:rPr>
                <w:rFonts w:ascii="宋体" w:hAnsi="宋体" w:cs="宋体" w:eastAsia="宋体"/>
                <w:color w:val="000000"/>
                <w:sz w:val="19"/>
              </w:rPr>
              <w:t>1）</w:t>
            </w:r>
            <w:r>
              <w:rPr>
                <w:rFonts w:ascii="宋体" w:hAnsi="宋体" w:cs="宋体" w:eastAsia="宋体"/>
                <w:color w:val="000000"/>
                <w:sz w:val="19"/>
              </w:rPr>
              <w:t>2025</w:t>
            </w:r>
            <w:r>
              <w:rPr>
                <w:rFonts w:ascii="宋体" w:hAnsi="宋体" w:cs="宋体" w:eastAsia="宋体"/>
                <w:color w:val="000000"/>
                <w:sz w:val="19"/>
              </w:rPr>
              <w:t>年度</w:t>
            </w:r>
            <w:r>
              <w:rPr>
                <w:rFonts w:ascii="宋体" w:hAnsi="宋体" w:cs="宋体" w:eastAsia="宋体"/>
                <w:color w:val="000000"/>
                <w:sz w:val="19"/>
              </w:rPr>
              <w:t>分段标准和赔付比例。</w:t>
            </w:r>
          </w:p>
          <w:p>
            <w:pPr>
              <w:pStyle w:val="null3"/>
              <w:ind w:firstLine="380"/>
              <w:jc w:val="left"/>
            </w:pPr>
            <w:r>
              <w:rPr>
                <w:rFonts w:ascii="宋体" w:hAnsi="宋体" w:cs="宋体" w:eastAsia="宋体"/>
                <w:color w:val="000000"/>
                <w:sz w:val="19"/>
              </w:rPr>
              <w:t>①</w:t>
            </w:r>
            <w:r>
              <w:rPr>
                <w:rFonts w:ascii="宋体" w:hAnsi="宋体" w:cs="宋体" w:eastAsia="宋体"/>
                <w:color w:val="000000"/>
                <w:sz w:val="19"/>
              </w:rPr>
              <w:t>大额赔付范围一段：</w:t>
            </w:r>
            <w:r>
              <w:rPr>
                <w:rFonts w:ascii="宋体" w:hAnsi="宋体" w:cs="宋体" w:eastAsia="宋体"/>
                <w:color w:val="000000"/>
                <w:sz w:val="19"/>
              </w:rPr>
              <w:t>4000元（含4000</w:t>
            </w:r>
            <w:r>
              <w:rPr>
                <w:rFonts w:ascii="宋体" w:hAnsi="宋体" w:cs="宋体" w:eastAsia="宋体"/>
                <w:color w:val="000000"/>
                <w:sz w:val="19"/>
              </w:rPr>
              <w:t>元</w:t>
            </w:r>
            <w:r>
              <w:rPr>
                <w:rFonts w:ascii="宋体" w:hAnsi="宋体" w:cs="宋体" w:eastAsia="宋体"/>
                <w:color w:val="000000"/>
                <w:sz w:val="19"/>
              </w:rPr>
              <w:t>）至</w:t>
            </w:r>
            <w:r>
              <w:rPr>
                <w:rFonts w:ascii="宋体" w:hAnsi="宋体" w:cs="宋体" w:eastAsia="宋体"/>
                <w:color w:val="000000"/>
                <w:sz w:val="19"/>
              </w:rPr>
              <w:t>7000元赔付20%</w:t>
            </w:r>
            <w:r>
              <w:rPr>
                <w:rFonts w:ascii="宋体" w:hAnsi="宋体" w:cs="宋体" w:eastAsia="宋体"/>
                <w:color w:val="000000"/>
                <w:sz w:val="19"/>
              </w:rPr>
              <w:t>；</w:t>
            </w:r>
          </w:p>
          <w:p>
            <w:pPr>
              <w:pStyle w:val="null3"/>
              <w:ind w:firstLine="380"/>
              <w:jc w:val="left"/>
            </w:pPr>
            <w:r>
              <w:rPr>
                <w:rFonts w:ascii="宋体" w:hAnsi="宋体" w:cs="宋体" w:eastAsia="宋体"/>
                <w:color w:val="000000"/>
                <w:sz w:val="19"/>
              </w:rPr>
              <w:t>②</w:t>
            </w:r>
            <w:r>
              <w:rPr>
                <w:rFonts w:ascii="宋体" w:hAnsi="宋体" w:cs="宋体" w:eastAsia="宋体"/>
                <w:color w:val="000000"/>
                <w:sz w:val="19"/>
              </w:rPr>
              <w:t>大额</w:t>
            </w:r>
            <w:r>
              <w:rPr>
                <w:rFonts w:ascii="宋体" w:hAnsi="宋体" w:cs="宋体" w:eastAsia="宋体"/>
                <w:color w:val="000000"/>
                <w:sz w:val="19"/>
              </w:rPr>
              <w:t>赔付</w:t>
            </w:r>
            <w:r>
              <w:rPr>
                <w:rFonts w:ascii="宋体" w:hAnsi="宋体" w:cs="宋体" w:eastAsia="宋体"/>
                <w:color w:val="000000"/>
                <w:sz w:val="19"/>
              </w:rPr>
              <w:t>范围</w:t>
            </w:r>
            <w:r>
              <w:rPr>
                <w:rFonts w:ascii="宋体" w:hAnsi="宋体" w:cs="宋体" w:eastAsia="宋体"/>
                <w:color w:val="000000"/>
                <w:sz w:val="19"/>
              </w:rPr>
              <w:t>二段：</w:t>
            </w:r>
            <w:r>
              <w:rPr>
                <w:rFonts w:ascii="宋体" w:hAnsi="宋体" w:cs="宋体" w:eastAsia="宋体"/>
                <w:color w:val="000000"/>
                <w:sz w:val="19"/>
              </w:rPr>
              <w:t>7000元（含7000</w:t>
            </w:r>
            <w:r>
              <w:rPr>
                <w:rFonts w:ascii="宋体" w:hAnsi="宋体" w:cs="宋体" w:eastAsia="宋体"/>
                <w:color w:val="000000"/>
                <w:sz w:val="19"/>
              </w:rPr>
              <w:t>元</w:t>
            </w:r>
            <w:r>
              <w:rPr>
                <w:rFonts w:ascii="宋体" w:hAnsi="宋体" w:cs="宋体" w:eastAsia="宋体"/>
                <w:color w:val="000000"/>
                <w:sz w:val="19"/>
              </w:rPr>
              <w:t>）至</w:t>
            </w:r>
            <w:r>
              <w:rPr>
                <w:rFonts w:ascii="宋体" w:hAnsi="宋体" w:cs="宋体" w:eastAsia="宋体"/>
                <w:color w:val="000000"/>
                <w:sz w:val="19"/>
              </w:rPr>
              <w:t>11000元赔付40%</w:t>
            </w:r>
            <w:r>
              <w:rPr>
                <w:rFonts w:ascii="宋体" w:hAnsi="宋体" w:cs="宋体" w:eastAsia="宋体"/>
                <w:color w:val="000000"/>
                <w:sz w:val="19"/>
              </w:rPr>
              <w:t>；</w:t>
            </w:r>
          </w:p>
          <w:p>
            <w:pPr>
              <w:pStyle w:val="null3"/>
              <w:ind w:firstLine="380"/>
              <w:jc w:val="left"/>
            </w:pPr>
            <w:r>
              <w:rPr>
                <w:rFonts w:ascii="宋体" w:hAnsi="宋体" w:cs="宋体" w:eastAsia="宋体"/>
                <w:color w:val="000000"/>
                <w:sz w:val="19"/>
              </w:rPr>
              <w:t>③</w:t>
            </w:r>
            <w:r>
              <w:rPr>
                <w:rFonts w:ascii="宋体" w:hAnsi="宋体" w:cs="宋体" w:eastAsia="宋体"/>
                <w:color w:val="000000"/>
                <w:sz w:val="19"/>
              </w:rPr>
              <w:t>大额赔付范围</w:t>
            </w:r>
            <w:r>
              <w:rPr>
                <w:rFonts w:ascii="宋体" w:hAnsi="宋体" w:cs="宋体" w:eastAsia="宋体"/>
                <w:color w:val="000000"/>
                <w:sz w:val="19"/>
              </w:rPr>
              <w:t>三段：</w:t>
            </w:r>
            <w:r>
              <w:rPr>
                <w:rFonts w:ascii="宋体" w:hAnsi="宋体" w:cs="宋体" w:eastAsia="宋体"/>
                <w:color w:val="000000"/>
                <w:sz w:val="19"/>
              </w:rPr>
              <w:t>11000元</w:t>
            </w:r>
            <w:r>
              <w:rPr>
                <w:rFonts w:ascii="宋体" w:hAnsi="宋体" w:cs="宋体" w:eastAsia="宋体"/>
                <w:color w:val="000000"/>
                <w:sz w:val="19"/>
              </w:rPr>
              <w:t>（</w:t>
            </w:r>
            <w:r>
              <w:rPr>
                <w:rFonts w:ascii="宋体" w:hAnsi="宋体" w:cs="宋体" w:eastAsia="宋体"/>
                <w:color w:val="000000"/>
                <w:sz w:val="19"/>
              </w:rPr>
              <w:t>含</w:t>
            </w:r>
            <w:r>
              <w:rPr>
                <w:rFonts w:ascii="宋体" w:hAnsi="宋体" w:cs="宋体" w:eastAsia="宋体"/>
                <w:color w:val="000000"/>
                <w:sz w:val="19"/>
              </w:rPr>
              <w:t>1</w:t>
            </w:r>
            <w:r>
              <w:rPr>
                <w:rFonts w:ascii="宋体" w:hAnsi="宋体" w:cs="宋体" w:eastAsia="宋体"/>
                <w:color w:val="000000"/>
                <w:sz w:val="19"/>
              </w:rPr>
              <w:t>100</w:t>
            </w:r>
            <w:r>
              <w:rPr>
                <w:rFonts w:ascii="宋体" w:hAnsi="宋体" w:cs="宋体" w:eastAsia="宋体"/>
                <w:color w:val="000000"/>
                <w:sz w:val="19"/>
              </w:rPr>
              <w:t>0</w:t>
            </w:r>
            <w:r>
              <w:rPr>
                <w:rFonts w:ascii="宋体" w:hAnsi="宋体" w:cs="宋体" w:eastAsia="宋体"/>
                <w:color w:val="000000"/>
                <w:sz w:val="19"/>
              </w:rPr>
              <w:t>元</w:t>
            </w:r>
            <w:r>
              <w:rPr>
                <w:rFonts w:ascii="宋体" w:hAnsi="宋体" w:cs="宋体" w:eastAsia="宋体"/>
                <w:color w:val="000000"/>
                <w:sz w:val="19"/>
              </w:rPr>
              <w:t>）</w:t>
            </w:r>
            <w:r>
              <w:rPr>
                <w:rFonts w:ascii="宋体" w:hAnsi="宋体" w:cs="宋体" w:eastAsia="宋体"/>
                <w:color w:val="000000"/>
                <w:sz w:val="19"/>
              </w:rPr>
              <w:t>以上赔付</w:t>
            </w:r>
            <w:r>
              <w:rPr>
                <w:rFonts w:ascii="宋体" w:hAnsi="宋体" w:cs="宋体" w:eastAsia="宋体"/>
                <w:color w:val="000000"/>
                <w:sz w:val="19"/>
              </w:rPr>
              <w:t>90%</w:t>
            </w:r>
            <w:r>
              <w:rPr>
                <w:rFonts w:ascii="宋体" w:hAnsi="宋体" w:cs="宋体" w:eastAsia="宋体"/>
                <w:color w:val="000000"/>
                <w:sz w:val="19"/>
              </w:rPr>
              <w:t>；</w:t>
            </w:r>
          </w:p>
          <w:p>
            <w:pPr>
              <w:pStyle w:val="null3"/>
              <w:jc w:val="left"/>
            </w:pPr>
            <w:r>
              <w:rPr>
                <w:rFonts w:ascii="宋体" w:hAnsi="宋体" w:cs="宋体" w:eastAsia="宋体"/>
                <w:color w:val="000000"/>
                <w:sz w:val="19"/>
              </w:rPr>
              <w:t>④</w:t>
            </w:r>
            <w:r>
              <w:rPr>
                <w:rFonts w:ascii="宋体" w:hAnsi="宋体" w:cs="宋体" w:eastAsia="宋体"/>
                <w:color w:val="000000"/>
                <w:sz w:val="19"/>
              </w:rPr>
              <w:t>办理了</w:t>
            </w:r>
            <w:r>
              <w:rPr>
                <w:rFonts w:ascii="宋体" w:hAnsi="宋体" w:cs="宋体" w:eastAsia="宋体"/>
                <w:color w:val="000000"/>
                <w:sz w:val="19"/>
              </w:rPr>
              <w:t>异地就医备案</w:t>
            </w:r>
            <w:r>
              <w:rPr>
                <w:rFonts w:ascii="宋体" w:hAnsi="宋体" w:cs="宋体" w:eastAsia="宋体"/>
                <w:color w:val="000000"/>
                <w:sz w:val="19"/>
              </w:rPr>
              <w:t>的，按相关规定结算赔付。</w:t>
            </w:r>
          </w:p>
          <w:p>
            <w:pPr>
              <w:pStyle w:val="null3"/>
              <w:ind w:firstLine="380"/>
              <w:jc w:val="left"/>
            </w:pPr>
            <w:r>
              <w:rPr>
                <w:rFonts w:ascii="宋体" w:hAnsi="宋体" w:cs="宋体" w:eastAsia="宋体"/>
                <w:color w:val="000000"/>
                <w:sz w:val="19"/>
              </w:rPr>
              <w:t>（</w:t>
            </w:r>
            <w:r>
              <w:rPr>
                <w:rFonts w:ascii="宋体" w:hAnsi="宋体" w:cs="宋体" w:eastAsia="宋体"/>
                <w:color w:val="000000"/>
                <w:sz w:val="19"/>
              </w:rPr>
              <w:t>2）赔付限额。</w:t>
            </w:r>
            <w:r>
              <w:rPr>
                <w:rFonts w:ascii="宋体" w:hAnsi="宋体" w:cs="宋体" w:eastAsia="宋体"/>
                <w:color w:val="000000"/>
                <w:sz w:val="19"/>
              </w:rPr>
              <w:t>职工</w:t>
            </w:r>
            <w:r>
              <w:rPr>
                <w:rFonts w:ascii="宋体" w:hAnsi="宋体" w:cs="宋体" w:eastAsia="宋体"/>
                <w:color w:val="000000"/>
                <w:sz w:val="19"/>
              </w:rPr>
              <w:t>大额</w:t>
            </w:r>
            <w:r>
              <w:rPr>
                <w:rFonts w:ascii="宋体" w:hAnsi="宋体" w:cs="宋体" w:eastAsia="宋体"/>
                <w:color w:val="000000"/>
                <w:sz w:val="19"/>
              </w:rPr>
              <w:t>医疗</w:t>
            </w:r>
            <w:r>
              <w:rPr>
                <w:rFonts w:ascii="宋体" w:hAnsi="宋体" w:cs="宋体" w:eastAsia="宋体"/>
                <w:color w:val="000000"/>
                <w:sz w:val="19"/>
              </w:rPr>
              <w:t>费用</w:t>
            </w:r>
            <w:r>
              <w:rPr>
                <w:rFonts w:ascii="宋体" w:hAnsi="宋体" w:cs="宋体" w:eastAsia="宋体"/>
                <w:color w:val="000000"/>
                <w:sz w:val="19"/>
              </w:rPr>
              <w:t>补助</w:t>
            </w:r>
            <w:r>
              <w:rPr>
                <w:rFonts w:ascii="宋体" w:hAnsi="宋体" w:cs="宋体" w:eastAsia="宋体"/>
                <w:color w:val="000000"/>
                <w:sz w:val="19"/>
              </w:rPr>
              <w:t>年度赔付限额</w:t>
            </w:r>
            <w:r>
              <w:rPr>
                <w:rFonts w:ascii="宋体" w:hAnsi="宋体" w:cs="宋体" w:eastAsia="宋体"/>
                <w:color w:val="000000"/>
                <w:sz w:val="19"/>
              </w:rPr>
              <w:t>为</w:t>
            </w:r>
            <w:r>
              <w:rPr>
                <w:rFonts w:ascii="宋体" w:hAnsi="宋体" w:cs="宋体" w:eastAsia="宋体"/>
                <w:color w:val="000000"/>
                <w:sz w:val="19"/>
              </w:rPr>
              <w:t>40万元。</w:t>
            </w:r>
          </w:p>
          <w:p>
            <w:pPr>
              <w:pStyle w:val="null3"/>
              <w:ind w:firstLine="380"/>
              <w:jc w:val="left"/>
            </w:pPr>
            <w:r>
              <w:rPr>
                <w:rFonts w:ascii="宋体" w:hAnsi="宋体" w:cs="宋体" w:eastAsia="宋体"/>
                <w:color w:val="000000"/>
                <w:sz w:val="19"/>
              </w:rPr>
              <w:t>（二）赔付率：</w:t>
            </w:r>
          </w:p>
          <w:p>
            <w:pPr>
              <w:pStyle w:val="null3"/>
              <w:ind w:firstLine="380"/>
              <w:jc w:val="left"/>
            </w:pPr>
            <w:r>
              <w:rPr>
                <w:rFonts w:ascii="宋体" w:hAnsi="宋体" w:cs="宋体" w:eastAsia="宋体"/>
                <w:color w:val="000000"/>
                <w:sz w:val="19"/>
              </w:rPr>
              <w:t>1.城乡居民大病保险的净赔付率</w:t>
            </w:r>
            <w:r>
              <w:rPr>
                <w:rFonts w:ascii="宋体" w:hAnsi="宋体" w:cs="宋体" w:eastAsia="宋体"/>
                <w:color w:val="000000"/>
                <w:sz w:val="19"/>
              </w:rPr>
              <w:t>不低于</w:t>
            </w:r>
            <w:r>
              <w:rPr>
                <w:rFonts w:ascii="宋体" w:hAnsi="宋体" w:cs="宋体" w:eastAsia="宋体"/>
                <w:color w:val="000000"/>
                <w:sz w:val="19"/>
              </w:rPr>
              <w:t>90</w:t>
            </w:r>
            <w:r>
              <w:rPr>
                <w:rFonts w:ascii="宋体" w:hAnsi="宋体" w:cs="宋体" w:eastAsia="宋体"/>
                <w:color w:val="000000"/>
                <w:sz w:val="19"/>
              </w:rPr>
              <w:t>%</w:t>
            </w:r>
            <w:r>
              <w:rPr>
                <w:rFonts w:ascii="宋体" w:hAnsi="宋体" w:cs="宋体" w:eastAsia="宋体"/>
                <w:color w:val="000000"/>
                <w:sz w:val="19"/>
              </w:rPr>
              <w:t>，具体赔付率通过招标确定。对实际净赔付率低于中标净赔付率的，分段按比例返还城乡居民医疗保险统筹基金，低于</w:t>
            </w:r>
            <w:r>
              <w:rPr>
                <w:rFonts w:ascii="宋体" w:hAnsi="宋体" w:cs="宋体" w:eastAsia="宋体"/>
                <w:color w:val="000000"/>
                <w:sz w:val="19"/>
              </w:rPr>
              <w:t>10个百分点以内的资金结余额，按50%的比例返还；低于10个百分点以上的资金结余额，全部返还。对实际净赔付率高于100%的，在100%～110%之间的亏损额由城乡居民医疗保险统筹基金和大病保险承保公司各分担50%，超过110%以上的亏损额城乡居民医疗保险统筹基金不再分担。</w:t>
            </w:r>
          </w:p>
          <w:p>
            <w:pPr>
              <w:pStyle w:val="null3"/>
              <w:ind w:firstLine="380"/>
              <w:jc w:val="left"/>
            </w:pPr>
            <w:r>
              <w:rPr>
                <w:rFonts w:ascii="宋体" w:hAnsi="宋体" w:cs="宋体" w:eastAsia="宋体"/>
                <w:color w:val="000000"/>
                <w:sz w:val="19"/>
              </w:rPr>
              <w:t>2.职工大额医疗费用补助的赔付率不低于83%，具体赔付率通过招标确定。</w:t>
            </w:r>
          </w:p>
          <w:p>
            <w:pPr>
              <w:pStyle w:val="null3"/>
              <w:ind w:firstLine="380"/>
              <w:jc w:val="left"/>
            </w:pPr>
            <w:r>
              <w:rPr>
                <w:rFonts w:ascii="宋体" w:hAnsi="宋体" w:cs="宋体" w:eastAsia="宋体"/>
                <w:color w:val="000000"/>
                <w:sz w:val="19"/>
              </w:rPr>
              <w:t>（三）资金结算：</w:t>
            </w:r>
            <w:r>
              <w:rPr>
                <w:rFonts w:ascii="宋体" w:hAnsi="宋体" w:cs="宋体" w:eastAsia="宋体"/>
                <w:color w:val="000000"/>
                <w:sz w:val="19"/>
              </w:rPr>
              <w:t>承保公司应</w:t>
            </w:r>
            <w:r>
              <w:rPr>
                <w:rFonts w:ascii="宋体" w:hAnsi="宋体" w:cs="宋体" w:eastAsia="宋体"/>
                <w:color w:val="000000"/>
                <w:sz w:val="19"/>
              </w:rPr>
              <w:t>对</w:t>
            </w:r>
            <w:r>
              <w:rPr>
                <w:rFonts w:ascii="宋体" w:hAnsi="宋体" w:cs="宋体" w:eastAsia="宋体"/>
                <w:color w:val="000000"/>
                <w:sz w:val="19"/>
              </w:rPr>
              <w:t>城乡居民大病保险</w:t>
            </w:r>
            <w:r>
              <w:rPr>
                <w:rFonts w:ascii="宋体" w:hAnsi="宋体" w:cs="宋体" w:eastAsia="宋体"/>
                <w:color w:val="000000"/>
                <w:sz w:val="21"/>
              </w:rPr>
              <w:t>和职工</w:t>
            </w:r>
            <w:r>
              <w:rPr>
                <w:rFonts w:ascii="宋体" w:hAnsi="宋体" w:cs="宋体" w:eastAsia="宋体"/>
                <w:color w:val="000000"/>
                <w:sz w:val="21"/>
              </w:rPr>
              <w:t>大额</w:t>
            </w:r>
            <w:r>
              <w:rPr>
                <w:rFonts w:ascii="宋体" w:hAnsi="宋体" w:cs="宋体" w:eastAsia="宋体"/>
                <w:color w:val="000000"/>
                <w:sz w:val="21"/>
              </w:rPr>
              <w:t>医疗费用补助</w:t>
            </w:r>
            <w:r>
              <w:rPr>
                <w:rFonts w:ascii="宋体" w:hAnsi="宋体" w:cs="宋体" w:eastAsia="宋体"/>
                <w:color w:val="000000"/>
                <w:sz w:val="19"/>
              </w:rPr>
              <w:t>分险种管理，独立核算，单独建账。承保公司应承担城乡居民大病保险和职工大额医疗费用补助相应的经营风险。结算</w:t>
            </w:r>
            <w:r>
              <w:rPr>
                <w:rFonts w:ascii="宋体" w:hAnsi="宋体" w:cs="宋体" w:eastAsia="宋体"/>
                <w:color w:val="000000"/>
                <w:sz w:val="19"/>
              </w:rPr>
              <w:t>按序时进度预拨给承保公司，资金结算和拨付在双方合同（协议）中加以明确。</w:t>
            </w:r>
            <w:r>
              <w:rPr>
                <w:rFonts w:ascii="宋体" w:hAnsi="宋体" w:cs="宋体" w:eastAsia="宋体"/>
                <w:color w:val="000000"/>
                <w:sz w:val="19"/>
              </w:rPr>
              <w:t>城乡居民大病保险按照最终核定的参保人数（以中央和省财政认定的参保补助人数为准）次年进行清算</w:t>
            </w:r>
            <w:r>
              <w:rPr>
                <w:rFonts w:ascii="宋体" w:hAnsi="宋体" w:cs="宋体" w:eastAsia="宋体"/>
                <w:color w:val="000000"/>
                <w:sz w:val="19"/>
              </w:rPr>
              <w:t>，</w:t>
            </w:r>
            <w:r>
              <w:rPr>
                <w:rFonts w:ascii="宋体" w:hAnsi="宋体" w:cs="宋体" w:eastAsia="宋体"/>
                <w:color w:val="000000"/>
                <w:sz w:val="19"/>
              </w:rPr>
              <w:t>职工大额医疗费用补助根据参保人数、保费收入次年进行清算</w:t>
            </w:r>
            <w:r>
              <w:rPr>
                <w:rFonts w:ascii="宋体" w:hAnsi="宋体" w:cs="宋体" w:eastAsia="宋体"/>
                <w:color w:val="000000"/>
                <w:sz w:val="19"/>
              </w:rPr>
              <w:t>。</w:t>
            </w:r>
          </w:p>
          <w:p>
            <w:pPr>
              <w:pStyle w:val="null3"/>
              <w:ind w:firstLine="380"/>
              <w:jc w:val="left"/>
            </w:pPr>
            <w:r>
              <w:rPr>
                <w:rFonts w:ascii="宋体" w:hAnsi="宋体" w:cs="宋体" w:eastAsia="宋体"/>
                <w:color w:val="000000"/>
                <w:sz w:val="19"/>
              </w:rPr>
              <w:t>（</w:t>
            </w:r>
            <w:r>
              <w:rPr>
                <w:rFonts w:ascii="宋体" w:hAnsi="宋体" w:cs="宋体" w:eastAsia="宋体"/>
                <w:color w:val="000000"/>
                <w:sz w:val="19"/>
              </w:rPr>
              <w:t>四</w:t>
            </w:r>
            <w:r>
              <w:rPr>
                <w:rFonts w:ascii="宋体" w:hAnsi="宋体" w:cs="宋体" w:eastAsia="宋体"/>
                <w:color w:val="000000"/>
                <w:sz w:val="19"/>
              </w:rPr>
              <w:t>）招标内容主要包括城乡居民大病保险、</w:t>
            </w:r>
            <w:r>
              <w:rPr>
                <w:rFonts w:ascii="宋体" w:hAnsi="宋体" w:cs="宋体" w:eastAsia="宋体"/>
                <w:color w:val="000000"/>
                <w:sz w:val="19"/>
              </w:rPr>
              <w:t>职工大额医疗费用补助的筹资标准、（净）赔付率，控制医疗费用措施、提供</w:t>
            </w:r>
            <w:r>
              <w:rPr>
                <w:rFonts w:ascii="宋体" w:hAnsi="宋体" w:cs="宋体" w:eastAsia="宋体"/>
                <w:color w:val="000000"/>
                <w:sz w:val="19"/>
              </w:rPr>
              <w:t>“一站式”结算服务以及配备的承办、管理、技术力量等。</w:t>
            </w:r>
          </w:p>
          <w:p>
            <w:pPr>
              <w:pStyle w:val="null3"/>
              <w:ind w:firstLine="380"/>
              <w:jc w:val="left"/>
            </w:pPr>
            <w:r>
              <w:rPr>
                <w:rFonts w:ascii="宋体" w:hAnsi="宋体" w:cs="宋体" w:eastAsia="宋体"/>
                <w:color w:val="000000"/>
                <w:sz w:val="19"/>
              </w:rPr>
              <w:t>1</w:t>
            </w:r>
            <w:r>
              <w:rPr>
                <w:rFonts w:ascii="宋体" w:hAnsi="宋体" w:cs="宋体" w:eastAsia="宋体"/>
                <w:color w:val="000000"/>
                <w:sz w:val="19"/>
              </w:rPr>
              <w:t>.</w:t>
            </w:r>
            <w:r>
              <w:rPr>
                <w:rFonts w:ascii="宋体" w:hAnsi="宋体" w:cs="宋体" w:eastAsia="宋体"/>
                <w:color w:val="000000"/>
                <w:sz w:val="19"/>
              </w:rPr>
              <w:t>投标人</w:t>
            </w:r>
            <w:r>
              <w:rPr>
                <w:rFonts w:ascii="宋体" w:hAnsi="宋体" w:cs="宋体" w:eastAsia="宋体"/>
                <w:color w:val="000000"/>
                <w:sz w:val="19"/>
              </w:rPr>
              <w:t>可以向</w:t>
            </w:r>
            <w:r>
              <w:rPr>
                <w:rFonts w:ascii="宋体" w:hAnsi="宋体" w:cs="宋体" w:eastAsia="宋体"/>
                <w:color w:val="000000"/>
                <w:sz w:val="19"/>
              </w:rPr>
              <w:t>招标</w:t>
            </w:r>
            <w:r>
              <w:rPr>
                <w:rFonts w:ascii="宋体" w:hAnsi="宋体" w:cs="宋体" w:eastAsia="宋体"/>
                <w:color w:val="000000"/>
                <w:sz w:val="19"/>
              </w:rPr>
              <w:t>人询问用于经营测算的</w:t>
            </w:r>
            <w:r>
              <w:rPr>
                <w:rFonts w:ascii="宋体" w:hAnsi="宋体" w:cs="宋体" w:eastAsia="宋体"/>
                <w:color w:val="000000"/>
                <w:sz w:val="19"/>
              </w:rPr>
              <w:t>基本医保历史数据，科学评估承保风险，并合理确定项目管理服务成本，在项目承办过程中应本着便民、高效的原则，通过联合办公场所做好</w:t>
            </w:r>
            <w:r>
              <w:rPr>
                <w:rFonts w:ascii="宋体" w:hAnsi="宋体" w:cs="宋体" w:eastAsia="宋体"/>
                <w:color w:val="000000"/>
                <w:sz w:val="19"/>
              </w:rPr>
              <w:t>城乡</w:t>
            </w:r>
            <w:r>
              <w:rPr>
                <w:rFonts w:ascii="宋体" w:hAnsi="宋体" w:cs="宋体" w:eastAsia="宋体"/>
                <w:color w:val="000000"/>
                <w:sz w:val="19"/>
              </w:rPr>
              <w:t>居民</w:t>
            </w:r>
            <w:r>
              <w:rPr>
                <w:rFonts w:ascii="宋体" w:hAnsi="宋体" w:cs="宋体" w:eastAsia="宋体"/>
                <w:color w:val="000000"/>
                <w:sz w:val="19"/>
              </w:rPr>
              <w:t>大病保险及</w:t>
            </w:r>
            <w:r>
              <w:rPr>
                <w:rFonts w:ascii="宋体" w:hAnsi="宋体" w:cs="宋体" w:eastAsia="宋体"/>
                <w:color w:val="000000"/>
                <w:sz w:val="19"/>
              </w:rPr>
              <w:t>职工</w:t>
            </w:r>
            <w:r>
              <w:rPr>
                <w:rFonts w:ascii="宋体" w:hAnsi="宋体" w:cs="宋体" w:eastAsia="宋体"/>
                <w:color w:val="000000"/>
                <w:sz w:val="19"/>
              </w:rPr>
              <w:t>大额医疗费用补助的服务工作，并在必要时提供专业服务队伍</w:t>
            </w:r>
            <w:r>
              <w:rPr>
                <w:rFonts w:ascii="宋体" w:hAnsi="宋体" w:cs="宋体" w:eastAsia="宋体"/>
                <w:color w:val="000000"/>
                <w:sz w:val="19"/>
              </w:rPr>
              <w:t>、</w:t>
            </w:r>
            <w:r>
              <w:rPr>
                <w:rFonts w:ascii="宋体" w:hAnsi="宋体" w:cs="宋体" w:eastAsia="宋体"/>
                <w:color w:val="000000"/>
                <w:sz w:val="19"/>
              </w:rPr>
              <w:t>交通工具支持，协助招标人开展理赔、监管等工作。在统筹地区内，大病保险及大额医疗费用补助的服务场所设置</w:t>
            </w:r>
            <w:r>
              <w:rPr>
                <w:rFonts w:ascii="宋体" w:hAnsi="宋体" w:cs="宋体" w:eastAsia="宋体"/>
                <w:color w:val="000000"/>
                <w:sz w:val="19"/>
              </w:rPr>
              <w:t>原则上</w:t>
            </w:r>
            <w:r>
              <w:rPr>
                <w:rFonts w:ascii="宋体" w:hAnsi="宋体" w:cs="宋体" w:eastAsia="宋体"/>
                <w:color w:val="000000"/>
                <w:sz w:val="19"/>
              </w:rPr>
              <w:t>与基本医疗保障服务网点相匹配，</w:t>
            </w:r>
            <w:r>
              <w:rPr>
                <w:rFonts w:ascii="宋体" w:hAnsi="宋体" w:cs="宋体" w:eastAsia="宋体"/>
                <w:color w:val="000000"/>
                <w:sz w:val="19"/>
              </w:rPr>
              <w:t>配备服务团队</w:t>
            </w:r>
            <w:r>
              <w:rPr>
                <w:rFonts w:ascii="宋体" w:hAnsi="宋体" w:cs="宋体" w:eastAsia="宋体"/>
                <w:color w:val="000000"/>
                <w:sz w:val="19"/>
              </w:rPr>
              <w:t>（</w:t>
            </w:r>
            <w:r>
              <w:rPr>
                <w:rFonts w:ascii="宋体" w:hAnsi="宋体" w:cs="宋体" w:eastAsia="宋体"/>
                <w:color w:val="000000"/>
                <w:sz w:val="19"/>
              </w:rPr>
              <w:t>人员</w:t>
            </w:r>
            <w:r>
              <w:rPr>
                <w:rFonts w:ascii="宋体" w:hAnsi="宋体" w:cs="宋体" w:eastAsia="宋体"/>
                <w:color w:val="000000"/>
                <w:sz w:val="19"/>
              </w:rPr>
              <w:t>不</w:t>
            </w:r>
            <w:r>
              <w:rPr>
                <w:rFonts w:ascii="宋体" w:hAnsi="宋体" w:cs="宋体" w:eastAsia="宋体"/>
                <w:color w:val="000000"/>
                <w:sz w:val="19"/>
              </w:rPr>
              <w:t>少</w:t>
            </w:r>
            <w:r>
              <w:rPr>
                <w:rFonts w:ascii="宋体" w:hAnsi="宋体" w:cs="宋体" w:eastAsia="宋体"/>
                <w:color w:val="000000"/>
                <w:sz w:val="19"/>
              </w:rPr>
              <w:t>于</w:t>
            </w:r>
            <w:r>
              <w:rPr>
                <w:rFonts w:ascii="宋体" w:hAnsi="宋体" w:cs="宋体" w:eastAsia="宋体"/>
                <w:color w:val="000000"/>
                <w:sz w:val="19"/>
              </w:rPr>
              <w:t>40人</w:t>
            </w:r>
            <w:r>
              <w:rPr>
                <w:rFonts w:ascii="宋体" w:hAnsi="宋体" w:cs="宋体" w:eastAsia="宋体"/>
                <w:color w:val="000000"/>
                <w:sz w:val="19"/>
              </w:rPr>
              <w:t>）</w:t>
            </w:r>
            <w:r>
              <w:rPr>
                <w:rFonts w:ascii="宋体" w:hAnsi="宋体" w:cs="宋体" w:eastAsia="宋体"/>
                <w:color w:val="000000"/>
                <w:sz w:val="19"/>
              </w:rPr>
              <w:t>，应具备理赔申请、信息查询、政策咨询、投诉受理、政策宣传等服务能力。</w:t>
            </w:r>
          </w:p>
          <w:p>
            <w:pPr>
              <w:pStyle w:val="null3"/>
              <w:ind w:firstLine="380"/>
              <w:jc w:val="left"/>
            </w:pPr>
            <w:r>
              <w:rPr>
                <w:rFonts w:ascii="宋体" w:hAnsi="宋体" w:cs="宋体" w:eastAsia="宋体"/>
                <w:color w:val="000000"/>
                <w:sz w:val="19"/>
              </w:rPr>
              <w:t>2</w:t>
            </w:r>
            <w:r>
              <w:rPr>
                <w:rFonts w:ascii="宋体" w:hAnsi="宋体" w:cs="宋体" w:eastAsia="宋体"/>
                <w:color w:val="000000"/>
                <w:sz w:val="19"/>
              </w:rPr>
              <w:t>.</w:t>
            </w:r>
            <w:r>
              <w:rPr>
                <w:rFonts w:ascii="宋体" w:hAnsi="宋体" w:cs="宋体" w:eastAsia="宋体"/>
                <w:color w:val="000000"/>
                <w:sz w:val="19"/>
              </w:rPr>
              <w:t>符合基本准入条件的</w:t>
            </w:r>
            <w:r>
              <w:rPr>
                <w:rFonts w:ascii="宋体" w:hAnsi="宋体" w:cs="宋体" w:eastAsia="宋体"/>
                <w:color w:val="000000"/>
                <w:sz w:val="19"/>
              </w:rPr>
              <w:t>投标人</w:t>
            </w:r>
            <w:r>
              <w:rPr>
                <w:rFonts w:ascii="宋体" w:hAnsi="宋体" w:cs="宋体" w:eastAsia="宋体"/>
                <w:color w:val="000000"/>
                <w:sz w:val="19"/>
              </w:rPr>
              <w:t>依法自愿投标，并根据</w:t>
            </w:r>
            <w:r>
              <w:rPr>
                <w:rFonts w:ascii="宋体" w:hAnsi="宋体" w:cs="宋体" w:eastAsia="宋体"/>
                <w:color w:val="000000"/>
                <w:sz w:val="19"/>
              </w:rPr>
              <w:t>攀枝花</w:t>
            </w:r>
            <w:r>
              <w:rPr>
                <w:rFonts w:ascii="宋体" w:hAnsi="宋体" w:cs="宋体" w:eastAsia="宋体"/>
                <w:color w:val="000000"/>
                <w:sz w:val="19"/>
              </w:rPr>
              <w:t>市城乡居民大病保险、</w:t>
            </w:r>
            <w:r>
              <w:rPr>
                <w:rFonts w:ascii="宋体" w:hAnsi="宋体" w:cs="宋体" w:eastAsia="宋体"/>
                <w:color w:val="000000"/>
                <w:sz w:val="19"/>
              </w:rPr>
              <w:t>职工大额医疗费用补助政策规定，严格按照招标方案进行</w:t>
            </w:r>
            <w:r>
              <w:rPr>
                <w:rFonts w:ascii="宋体" w:hAnsi="宋体" w:cs="宋体" w:eastAsia="宋体"/>
                <w:color w:val="000000"/>
                <w:sz w:val="19"/>
              </w:rPr>
              <w:t>测算、合理报价，制定承办大病保险、大额医疗费用补助的具体工作方案，确保投标材料真实、合法、有效。</w:t>
            </w:r>
          </w:p>
          <w:p>
            <w:pPr>
              <w:pStyle w:val="null3"/>
              <w:ind w:firstLine="380"/>
              <w:jc w:val="left"/>
            </w:pPr>
            <w:r>
              <w:rPr>
                <w:rFonts w:ascii="宋体" w:hAnsi="宋体" w:cs="宋体" w:eastAsia="宋体"/>
                <w:color w:val="000000"/>
                <w:sz w:val="19"/>
              </w:rPr>
              <w:t>3</w:t>
            </w:r>
            <w:r>
              <w:rPr>
                <w:rFonts w:ascii="宋体" w:hAnsi="宋体" w:cs="宋体" w:eastAsia="宋体"/>
                <w:color w:val="000000"/>
                <w:sz w:val="19"/>
              </w:rPr>
              <w:t>.</w:t>
            </w:r>
            <w:r>
              <w:rPr>
                <w:rFonts w:ascii="宋体" w:hAnsi="宋体" w:cs="宋体" w:eastAsia="宋体"/>
                <w:color w:val="000000"/>
                <w:sz w:val="19"/>
              </w:rPr>
              <w:t>承办方式：以合同</w:t>
            </w:r>
            <w:r>
              <w:rPr>
                <w:rFonts w:ascii="宋体" w:hAnsi="宋体" w:cs="宋体" w:eastAsia="宋体"/>
                <w:color w:val="000000"/>
                <w:sz w:val="19"/>
              </w:rPr>
              <w:t>（</w:t>
            </w:r>
            <w:r>
              <w:rPr>
                <w:rFonts w:ascii="宋体" w:hAnsi="宋体" w:cs="宋体" w:eastAsia="宋体"/>
                <w:color w:val="000000"/>
                <w:sz w:val="19"/>
              </w:rPr>
              <w:t>协议</w:t>
            </w:r>
            <w:r>
              <w:rPr>
                <w:rFonts w:ascii="宋体" w:hAnsi="宋体" w:cs="宋体" w:eastAsia="宋体"/>
                <w:color w:val="000000"/>
                <w:sz w:val="19"/>
              </w:rPr>
              <w:t>）</w:t>
            </w:r>
            <w:r>
              <w:rPr>
                <w:rFonts w:ascii="宋体" w:hAnsi="宋体" w:cs="宋体" w:eastAsia="宋体"/>
                <w:color w:val="000000"/>
                <w:sz w:val="19"/>
              </w:rPr>
              <w:t>形式承办城乡居民大病保险、</w:t>
            </w:r>
            <w:r>
              <w:rPr>
                <w:rFonts w:ascii="宋体" w:hAnsi="宋体" w:cs="宋体" w:eastAsia="宋体"/>
                <w:color w:val="000000"/>
                <w:sz w:val="19"/>
              </w:rPr>
              <w:t>职工大额医疗费用补助，</w:t>
            </w:r>
            <w:r>
              <w:rPr>
                <w:rFonts w:ascii="宋体" w:hAnsi="宋体" w:cs="宋体" w:eastAsia="宋体"/>
                <w:color w:val="000000"/>
                <w:sz w:val="19"/>
              </w:rPr>
              <w:t>投标人</w:t>
            </w:r>
            <w:r>
              <w:rPr>
                <w:rFonts w:ascii="宋体" w:hAnsi="宋体" w:cs="宋体" w:eastAsia="宋体"/>
                <w:color w:val="000000"/>
                <w:sz w:val="19"/>
              </w:rPr>
              <w:t>应承担</w:t>
            </w:r>
            <w:r>
              <w:rPr>
                <w:rFonts w:ascii="宋体" w:hAnsi="宋体" w:cs="宋体" w:eastAsia="宋体"/>
                <w:color w:val="000000"/>
                <w:sz w:val="19"/>
              </w:rPr>
              <w:t>相应的</w:t>
            </w:r>
            <w:r>
              <w:rPr>
                <w:rFonts w:ascii="宋体" w:hAnsi="宋体" w:cs="宋体" w:eastAsia="宋体"/>
                <w:color w:val="000000"/>
                <w:sz w:val="19"/>
              </w:rPr>
              <w:t>经营风险；在承办期限内，招标人与中标</w:t>
            </w:r>
            <w:r>
              <w:rPr>
                <w:rFonts w:ascii="宋体" w:hAnsi="宋体" w:cs="宋体" w:eastAsia="宋体"/>
                <w:color w:val="000000"/>
                <w:sz w:val="19"/>
              </w:rPr>
              <w:t>人</w:t>
            </w:r>
            <w:r>
              <w:rPr>
                <w:rFonts w:ascii="宋体" w:hAnsi="宋体" w:cs="宋体" w:eastAsia="宋体"/>
                <w:color w:val="000000"/>
                <w:sz w:val="19"/>
              </w:rPr>
              <w:t>的保险合同</w:t>
            </w:r>
            <w:r>
              <w:rPr>
                <w:rFonts w:ascii="宋体" w:hAnsi="宋体" w:cs="宋体" w:eastAsia="宋体"/>
                <w:color w:val="000000"/>
                <w:sz w:val="19"/>
              </w:rPr>
              <w:t>（</w:t>
            </w:r>
            <w:r>
              <w:rPr>
                <w:rFonts w:ascii="宋体" w:hAnsi="宋体" w:cs="宋体" w:eastAsia="宋体"/>
                <w:color w:val="000000"/>
                <w:sz w:val="19"/>
              </w:rPr>
              <w:t>协议</w:t>
            </w:r>
            <w:r>
              <w:rPr>
                <w:rFonts w:ascii="宋体" w:hAnsi="宋体" w:cs="宋体" w:eastAsia="宋体"/>
                <w:color w:val="000000"/>
                <w:sz w:val="19"/>
              </w:rPr>
              <w:t>）</w:t>
            </w:r>
            <w:r>
              <w:rPr>
                <w:rFonts w:ascii="宋体" w:hAnsi="宋体" w:cs="宋体" w:eastAsia="宋体"/>
                <w:color w:val="000000"/>
                <w:sz w:val="19"/>
              </w:rPr>
              <w:t>根据实际情况实行</w:t>
            </w:r>
            <w:r>
              <w:rPr>
                <w:rFonts w:ascii="宋体" w:hAnsi="宋体" w:cs="宋体" w:eastAsia="宋体"/>
                <w:color w:val="000000"/>
                <w:sz w:val="19"/>
              </w:rPr>
              <w:t>一年一签。筹资及政策标准调整应按照国家、省</w:t>
            </w:r>
            <w:r>
              <w:rPr>
                <w:rFonts w:ascii="宋体" w:hAnsi="宋体" w:cs="宋体" w:eastAsia="宋体"/>
                <w:color w:val="000000"/>
                <w:sz w:val="19"/>
              </w:rPr>
              <w:t>、</w:t>
            </w:r>
            <w:r>
              <w:rPr>
                <w:rFonts w:ascii="宋体" w:hAnsi="宋体" w:cs="宋体" w:eastAsia="宋体"/>
                <w:color w:val="000000"/>
                <w:sz w:val="19"/>
              </w:rPr>
              <w:t>市有关规定进行，充分考虑投标人实际运行情况，经双方共同协商确定。因违反合同</w:t>
            </w:r>
            <w:r>
              <w:rPr>
                <w:rFonts w:ascii="宋体" w:hAnsi="宋体" w:cs="宋体" w:eastAsia="宋体"/>
                <w:color w:val="000000"/>
                <w:sz w:val="19"/>
              </w:rPr>
              <w:t>（</w:t>
            </w:r>
            <w:r>
              <w:rPr>
                <w:rFonts w:ascii="宋体" w:hAnsi="宋体" w:cs="宋体" w:eastAsia="宋体"/>
                <w:color w:val="000000"/>
                <w:sz w:val="19"/>
              </w:rPr>
              <w:t>协议</w:t>
            </w:r>
            <w:r>
              <w:rPr>
                <w:rFonts w:ascii="宋体" w:hAnsi="宋体" w:cs="宋体" w:eastAsia="宋体"/>
                <w:color w:val="000000"/>
                <w:sz w:val="19"/>
              </w:rPr>
              <w:t>）</w:t>
            </w:r>
            <w:r>
              <w:rPr>
                <w:rFonts w:ascii="宋体" w:hAnsi="宋体" w:cs="宋体" w:eastAsia="宋体"/>
                <w:color w:val="000000"/>
                <w:sz w:val="19"/>
              </w:rPr>
              <w:t>约定，或发生其他严重损害参保人权益的情况，</w:t>
            </w:r>
            <w:r>
              <w:rPr>
                <w:rFonts w:ascii="宋体" w:hAnsi="宋体" w:cs="宋体" w:eastAsia="宋体"/>
                <w:color w:val="000000"/>
                <w:sz w:val="19"/>
              </w:rPr>
              <w:t>双方可以提前终止或解除合作，并依法追究责任。</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8305"/>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服务期限</w:t>
            </w:r>
          </w:p>
        </w:tc>
        <w:tc>
          <w:tcPr>
            <w:tcW w:type="dxa" w:w="5814"/>
          </w:tcPr>
          <w:p>
            <w:pPr>
              <w:pStyle w:val="null3"/>
              <w:jc w:val="left"/>
            </w:pPr>
            <w:r>
              <w:rPr/>
              <w:t>自合同签订之日起365日</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服务地点</w:t>
            </w:r>
          </w:p>
        </w:tc>
        <w:tc>
          <w:tcPr>
            <w:tcW w:type="dxa" w:w="5814"/>
          </w:tcPr>
          <w:p>
            <w:pPr>
              <w:pStyle w:val="null3"/>
              <w:jc w:val="left"/>
            </w:pPr>
            <w:r>
              <w:rPr/>
              <w:t>攀枝花市医疗保障事务中心</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按国家有关规定、招标文件的质量要求和技术指标、中标人的投标文件及承诺以及合同约定标准进行验收。其他未尽事宜将按照《财政部关于进一步加强政府采购需求和履约验收管理的指导意见》(财库(2016) 205号)规定的标准、方法和内容进行验收。</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1、按序时进度进行拨付，达到付款条件起30日内，据实情况说明为根据项目序时进度进性拨付</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违约责任与解决争议的方法</w:t>
            </w:r>
          </w:p>
        </w:tc>
        <w:tc>
          <w:tcPr>
            <w:tcW w:type="dxa" w:w="5814"/>
          </w:tcPr>
          <w:p>
            <w:pPr>
              <w:pStyle w:val="null3"/>
              <w:jc w:val="left"/>
            </w:pPr>
            <w:r>
              <w:rPr/>
              <w:t>1.违约责任：1.1中标人提供服务未验收合格的，从未验收合格之日起至验收合格之日止，中标人应按照合同金额的每日0.3‰向采购人支付违约金。1.2中标人应严格履行合同约定，不得擅自解除和变更合同。若因中标人擅自解除或变更合同造成采购人经济损失的，中标人应支付合同金额20%的违约金。2解决争议的方法：2.1因合同引起的或与本合同有关的任何争议，由双方当事人协商解决:也可以向有关部门申请调解。协商或调解不成，当事人可依照有关法律规定将争议向人民法院起诉。2.2纠纷受理法院: 四川省攀枝花市人民法院。2.3上述过程发生的费用(诉讼费、保全费、胜诉方律师代理费等)由败诉方承担。2.4在进行法院审理期间，除提交法院审理的事项外，合同仍应继续履行。</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★1.服务期限：因系统固化限制，3.3.2.商务要求 第1项服务期限不适用本项目，具体服务期限为中标人需负责2025年度攀枝花市城乡居民大病保险、城镇职工大额补助保险承保和按政策要求的赔付。起始日期为2025年1月1日00时—2025年12月31日24时，2025年度协议到期后，采购人可根据实际情况及合同履约情况决定来年是否续签合同，合同一年一签，最多可续签不超过2年的政府采购合同。 ★2.报价要求：投标人报价不得低于2024年的政策标准，因系统固化限制，投标人报价须参照附件报价明细表格式进行报价。①城乡居民大病保险按年报价（如：50元/人/年）；②城镇职工大额补助保险按月报价（如：15元/人/月）。本项目为固定单价合同，投标人报价应是完成本项目要求的全部工作内容的价格体现。 单价最高限价： 城乡居民大病保险：60 元/人/年 城镇职工大额补助保险：20元/人/月</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并提供以下证明材料：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分公司参与采购活动的，须提供经总公司授权的相关证明材料；④若为自然人：提供“身份证明材料”。以上均提供复印件。</w:t>
            </w:r>
          </w:p>
        </w:tc>
        <w:tc>
          <w:tcPr>
            <w:tcW w:type="dxa" w:w="1910"/>
          </w:tcPr>
          <w:p>
            <w:pPr>
              <w:pStyle w:val="null3"/>
              <w:jc w:val="left"/>
            </w:pPr>
            <w:r>
              <w:rPr/>
              <w:t>具有独立承担民事责任的能力 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①可提供2022或2023年度经审计的财务报告复印件（包含审计报告和审计报告中所涉及的财务报表和报表附注），②也可提供供应商内部的2022或2023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w:t>
            </w:r>
          </w:p>
        </w:tc>
        <w:tc>
          <w:tcPr>
            <w:tcW w:type="dxa" w:w="1910"/>
          </w:tcPr>
          <w:p>
            <w:pPr>
              <w:pStyle w:val="null3"/>
              <w:jc w:val="left"/>
            </w:pPr>
            <w:r>
              <w:rPr/>
              <w:t>投标（响应）函 具有健全的财务会计制度</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投标管理</w:t>
            </w:r>
          </w:p>
        </w:tc>
        <w:tc>
          <w:tcPr>
            <w:tcW w:type="dxa" w:w="3322"/>
          </w:tcPr>
          <w:p>
            <w:pPr>
              <w:pStyle w:val="null3"/>
              <w:jc w:val="left"/>
            </w:pPr>
            <w:r>
              <w:rPr/>
              <w:t>对于未区分标段的同一大病保险招标项目或一个大病保险标段，同一保险集团公司参与投标的子公司仅限一家。(若同一保险集团公司参与投标的子公司有多家，则该包参与投标的子公司均视为不满足此条要求)|(提供承诺函，格式自拟）</w:t>
            </w:r>
          </w:p>
        </w:tc>
        <w:tc>
          <w:tcPr>
            <w:tcW w:type="dxa" w:w="1910"/>
          </w:tcPr>
          <w:p>
            <w:pPr>
              <w:pStyle w:val="null3"/>
              <w:jc w:val="left"/>
            </w:pPr>
            <w:r>
              <w:rPr/>
              <w:t>投标人针对特定资格审查提供的相关证明材料</w:t>
            </w:r>
          </w:p>
        </w:tc>
      </w:tr>
      <w:tr>
        <w:tc>
          <w:tcPr>
            <w:tcW w:type="dxa" w:w="581"/>
          </w:tcPr>
          <w:p>
            <w:pPr>
              <w:pStyle w:val="null3"/>
              <w:jc w:val="center"/>
            </w:pPr>
            <w:r>
              <w:rPr/>
              <w:t>2</w:t>
            </w:r>
          </w:p>
        </w:tc>
        <w:tc>
          <w:tcPr>
            <w:tcW w:type="dxa" w:w="2492"/>
          </w:tcPr>
          <w:p>
            <w:pPr>
              <w:pStyle w:val="null3"/>
              <w:jc w:val="left"/>
            </w:pPr>
            <w:r>
              <w:rPr/>
              <w:t>投标人应具有城乡居民大病保险承保资质。</w:t>
            </w:r>
          </w:p>
        </w:tc>
        <w:tc>
          <w:tcPr>
            <w:tcW w:type="dxa" w:w="3322"/>
          </w:tcPr>
          <w:p>
            <w:pPr>
              <w:pStyle w:val="null3"/>
              <w:jc w:val="left"/>
            </w:pPr>
            <w:r>
              <w:rPr/>
              <w:t>①提供有效的《经营保险业务许可证》并进行电子签章（如为分公司参与采购活动的，其总公司应具有有效的《经营保险业务许可证》，并提供授权分公司开展大病保险业务的相关证明材料）。②投标人是2023年7月6日《四川银保监局关于调整符合大病保险经营条件的保险公司省级机构名单的公示》单位。</w:t>
            </w:r>
          </w:p>
        </w:tc>
        <w:tc>
          <w:tcPr>
            <w:tcW w:type="dxa" w:w="1910"/>
          </w:tcPr>
          <w:p>
            <w:pPr>
              <w:pStyle w:val="null3"/>
              <w:jc w:val="left"/>
            </w:pPr>
            <w:r>
              <w:rPr/>
              <w:t>投标人针对特定资格审查提供的相关证明材料</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商务要求、技术参数、其他要求中实质性要求审查</w:t>
            </w:r>
          </w:p>
        </w:tc>
        <w:tc>
          <w:tcPr>
            <w:tcW w:type="dxa" w:w="3322"/>
          </w:tcPr>
          <w:p>
            <w:pPr>
              <w:pStyle w:val="null3"/>
              <w:jc w:val="left"/>
            </w:pPr>
            <w:r>
              <w:rPr/>
              <w:t>商务要求、技术参数、其他要求中为实质性要求，不允许负偏离，否则视为无效响应技术参数实质性要求部分，不允许负偏离，否则视为无效响应</w:t>
            </w:r>
          </w:p>
        </w:tc>
        <w:tc>
          <w:tcPr>
            <w:tcW w:type="dxa" w:w="1910"/>
          </w:tcPr>
          <w:p>
            <w:pPr>
              <w:pStyle w:val="null3"/>
              <w:jc w:val="left"/>
            </w:pPr>
            <w:r>
              <w:rPr/>
              <w:t>其他要求应答表 技术要求应答表 商务要求应答表</w:t>
            </w:r>
          </w:p>
        </w:tc>
      </w:tr>
      <w:tr>
        <w:tc>
          <w:tcPr>
            <w:tcW w:type="dxa" w:w="581"/>
          </w:tcPr>
          <w:p>
            <w:pPr>
              <w:pStyle w:val="null3"/>
              <w:jc w:val="center"/>
            </w:pPr>
            <w:r>
              <w:rPr/>
              <w:t>3</w:t>
            </w:r>
          </w:p>
        </w:tc>
        <w:tc>
          <w:tcPr>
            <w:tcW w:type="dxa" w:w="2492"/>
          </w:tcPr>
          <w:p>
            <w:pPr>
              <w:pStyle w:val="null3"/>
              <w:jc w:val="left"/>
            </w:pPr>
            <w:r>
              <w:rPr/>
              <w:t>不正当竞争预防措施（实质性要求）</w:t>
            </w:r>
          </w:p>
        </w:tc>
        <w:tc>
          <w:tcPr>
            <w:tcW w:type="dxa" w:w="3322"/>
          </w:tcPr>
          <w:p>
            <w:pPr>
              <w:pStyle w:val="null3"/>
              <w:jc w:val="left"/>
            </w:pPr>
            <w:r>
              <w:rPr/>
              <w:t>评标委员会认为投标人的报价明显低于其他通过有效性、完整性和响应程度审查供应商的报价，有可能影响产品质量或者不能诚信履约的，应当要求其在评审现场合理的时间内提供书面说明，必要时提交相关证明材料；投标人不能证明其报价合理性的，评标委员会应当将其作为无效响应处理。</w:t>
            </w:r>
          </w:p>
        </w:tc>
        <w:tc>
          <w:tcPr>
            <w:tcW w:type="dxa" w:w="1910"/>
          </w:tcPr>
          <w:p>
            <w:pPr>
              <w:pStyle w:val="null3"/>
              <w:jc w:val="left"/>
            </w:pPr>
            <w:r>
              <w:rPr/>
              <w:t>报价一览表 报价明细表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5.3.4.解释、澄清、说明的有关问题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ind w:firstLine="480"/>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5.4.1.评标方法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净赔付率</w:t>
            </w:r>
          </w:p>
        </w:tc>
        <w:tc>
          <w:tcPr>
            <w:tcW w:type="dxa" w:w="2575"/>
          </w:tcPr>
          <w:p>
            <w:pPr>
              <w:pStyle w:val="null3"/>
              <w:jc w:val="left"/>
            </w:pPr>
            <w:r>
              <w:rPr/>
              <w:t>1.投标人承诺城乡居民大病保险净赔付率达90%的得2分，每增加1个百分点加1分，最高加5分，本项最高得7分。 2.投标人承诺城镇职工大额医疗费用补助保险净赔付率达83%的得2分，每增加1个百分点加1分，最高加5分，本项最高得7分。 注：提供承诺函并进行电子签章。未提供不得分。增加的百分点不足1个百分点的不计分。</w:t>
            </w:r>
          </w:p>
        </w:tc>
        <w:tc>
          <w:tcPr>
            <w:tcW w:type="dxa" w:w="831"/>
          </w:tcPr>
          <w:p>
            <w:pPr>
              <w:pStyle w:val="null3"/>
              <w:jc w:val="center"/>
            </w:pPr>
            <w:r>
              <w:rPr/>
              <w:t>14.00</w:t>
            </w:r>
          </w:p>
        </w:tc>
        <w:tc>
          <w:tcPr>
            <w:tcW w:type="dxa" w:w="748"/>
          </w:tcPr>
          <w:p>
            <w:pPr>
              <w:pStyle w:val="null3"/>
              <w:jc w:val="center"/>
            </w:pPr>
            <w:r>
              <w:rPr/>
              <w:t>客观</w:t>
            </w:r>
          </w:p>
        </w:tc>
        <w:tc>
          <w:tcPr>
            <w:tcW w:type="dxa" w:w="1661"/>
          </w:tcPr>
          <w:p>
            <w:pPr>
              <w:pStyle w:val="null3"/>
              <w:jc w:val="left"/>
            </w:pPr>
            <w:r>
              <w:rPr/>
              <w:t>投标人针对评标细则及标准应该提供的相关证明材料</w:t>
            </w:r>
          </w:p>
        </w:tc>
      </w:tr>
      <w:tr>
        <w:tc>
          <w:tcPr>
            <w:tcW w:type="dxa" w:w="831"/>
            <w:vMerge/>
          </w:tcPr>
          <w:p/>
        </w:tc>
        <w:tc>
          <w:tcPr>
            <w:tcW w:type="dxa" w:w="1661"/>
          </w:tcPr>
          <w:p>
            <w:pPr>
              <w:pStyle w:val="null3"/>
              <w:jc w:val="left"/>
            </w:pPr>
            <w:r>
              <w:rPr/>
              <w:t>承办能力</w:t>
            </w:r>
          </w:p>
        </w:tc>
        <w:tc>
          <w:tcPr>
            <w:tcW w:type="dxa" w:w="2575"/>
          </w:tcPr>
          <w:p>
            <w:pPr>
              <w:pStyle w:val="null3"/>
              <w:jc w:val="left"/>
            </w:pPr>
            <w:r>
              <w:rPr/>
              <w:t>1.投标人在攀枝花市各区县内，有1个服务网点的得1分，本项最高分8分， 注：提供《经营保险业务许可证》及《营业执照》复印件，并进行签章。 2.投标人完全响应招标文件要求，已为招标人配备40人专职服务队伍或承诺中标后1个月内配备的的得1分；注：提供专职服务队伍人员合同或承诺函。</w:t>
            </w:r>
          </w:p>
        </w:tc>
        <w:tc>
          <w:tcPr>
            <w:tcW w:type="dxa" w:w="831"/>
          </w:tcPr>
          <w:p>
            <w:pPr>
              <w:pStyle w:val="null3"/>
              <w:jc w:val="center"/>
            </w:pPr>
            <w:r>
              <w:rPr/>
              <w:t>9.00</w:t>
            </w:r>
          </w:p>
        </w:tc>
        <w:tc>
          <w:tcPr>
            <w:tcW w:type="dxa" w:w="748"/>
          </w:tcPr>
          <w:p>
            <w:pPr>
              <w:pStyle w:val="null3"/>
              <w:jc w:val="center"/>
            </w:pPr>
            <w:r>
              <w:rPr/>
              <w:t>客观</w:t>
            </w:r>
          </w:p>
        </w:tc>
        <w:tc>
          <w:tcPr>
            <w:tcW w:type="dxa" w:w="1661"/>
          </w:tcPr>
          <w:p>
            <w:pPr>
              <w:pStyle w:val="null3"/>
              <w:jc w:val="left"/>
            </w:pPr>
            <w:r>
              <w:rPr/>
              <w:t>投标人针对评标细则及标准应该提供的相关证明材料</w:t>
            </w:r>
          </w:p>
        </w:tc>
      </w:tr>
      <w:tr>
        <w:tc>
          <w:tcPr>
            <w:tcW w:type="dxa" w:w="831"/>
            <w:vMerge/>
          </w:tcPr>
          <w:p/>
        </w:tc>
        <w:tc>
          <w:tcPr>
            <w:tcW w:type="dxa" w:w="1661"/>
          </w:tcPr>
          <w:p>
            <w:pPr>
              <w:pStyle w:val="null3"/>
              <w:jc w:val="left"/>
            </w:pPr>
            <w:r>
              <w:rPr/>
              <w:t>偿付能力</w:t>
            </w:r>
          </w:p>
        </w:tc>
        <w:tc>
          <w:tcPr>
            <w:tcW w:type="dxa" w:w="2575"/>
          </w:tcPr>
          <w:p>
            <w:pPr>
              <w:pStyle w:val="null3"/>
              <w:jc w:val="left"/>
            </w:pPr>
            <w:r>
              <w:rPr/>
              <w:t>根据投标人提供的2023年四季度综合偿付能力证明材料进行评分：综合偿付能力在210%（不含）以上的，得8分；180%（不含）至210%（含）之间的，得6分；150%（不含）至180%（含）之间的，得4分；低于150%的不得分。 注：以供应商总公司公开披露的偿付能力报告摘要中数据为准，并进行签章。</w:t>
            </w:r>
          </w:p>
        </w:tc>
        <w:tc>
          <w:tcPr>
            <w:tcW w:type="dxa" w:w="831"/>
          </w:tcPr>
          <w:p>
            <w:pPr>
              <w:pStyle w:val="null3"/>
              <w:jc w:val="center"/>
            </w:pPr>
            <w:r>
              <w:rPr/>
              <w:t>8.00</w:t>
            </w:r>
          </w:p>
        </w:tc>
        <w:tc>
          <w:tcPr>
            <w:tcW w:type="dxa" w:w="748"/>
          </w:tcPr>
          <w:p>
            <w:pPr>
              <w:pStyle w:val="null3"/>
              <w:jc w:val="center"/>
            </w:pPr>
            <w:r>
              <w:rPr/>
              <w:t>客观</w:t>
            </w:r>
          </w:p>
        </w:tc>
        <w:tc>
          <w:tcPr>
            <w:tcW w:type="dxa" w:w="1661"/>
          </w:tcPr>
          <w:p>
            <w:pPr>
              <w:pStyle w:val="null3"/>
              <w:jc w:val="left"/>
            </w:pPr>
            <w:r>
              <w:rPr/>
              <w:t>投标人针对评标细则及标准应该提供的相关证明材料</w:t>
            </w:r>
          </w:p>
        </w:tc>
      </w:tr>
      <w:tr>
        <w:tc>
          <w:tcPr>
            <w:tcW w:type="dxa" w:w="831"/>
            <w:vMerge/>
          </w:tcPr>
          <w:p/>
        </w:tc>
        <w:tc>
          <w:tcPr>
            <w:tcW w:type="dxa" w:w="1661"/>
          </w:tcPr>
          <w:p>
            <w:pPr>
              <w:pStyle w:val="null3"/>
              <w:jc w:val="left"/>
            </w:pPr>
            <w:r>
              <w:rPr/>
              <w:t>风险综合评级</w:t>
            </w:r>
          </w:p>
        </w:tc>
        <w:tc>
          <w:tcPr>
            <w:tcW w:type="dxa" w:w="2575"/>
          </w:tcPr>
          <w:p>
            <w:pPr>
              <w:pStyle w:val="null3"/>
              <w:jc w:val="left"/>
            </w:pPr>
            <w:r>
              <w:rPr/>
              <w:t>根据投标人的2023年四季度风险综合评级进行评分：风险综合评级为AAA级的，得12分；在A级（含）-AA级（含）的得9分，在B级（含）-BBB级（含）的得6分；低于B级的，不得分。 注：以供应商总公司公开披露的偿付能力报告摘要中数据为准，并进行签章。</w:t>
            </w:r>
          </w:p>
        </w:tc>
        <w:tc>
          <w:tcPr>
            <w:tcW w:type="dxa" w:w="831"/>
          </w:tcPr>
          <w:p>
            <w:pPr>
              <w:pStyle w:val="null3"/>
              <w:jc w:val="center"/>
            </w:pPr>
            <w:r>
              <w:rPr/>
              <w:t>12.00</w:t>
            </w:r>
          </w:p>
        </w:tc>
        <w:tc>
          <w:tcPr>
            <w:tcW w:type="dxa" w:w="748"/>
          </w:tcPr>
          <w:p>
            <w:pPr>
              <w:pStyle w:val="null3"/>
              <w:jc w:val="center"/>
            </w:pPr>
            <w:r>
              <w:rPr/>
              <w:t>客观</w:t>
            </w:r>
          </w:p>
        </w:tc>
        <w:tc>
          <w:tcPr>
            <w:tcW w:type="dxa" w:w="1661"/>
          </w:tcPr>
          <w:p>
            <w:pPr>
              <w:pStyle w:val="null3"/>
              <w:jc w:val="left"/>
            </w:pPr>
            <w:r>
              <w:rPr/>
              <w:t>投标人针对评标细则及标准应该提供的相关证明材料</w:t>
            </w:r>
          </w:p>
        </w:tc>
      </w:tr>
      <w:tr>
        <w:tc>
          <w:tcPr>
            <w:tcW w:type="dxa" w:w="831"/>
            <w:vMerge/>
          </w:tcPr>
          <w:p/>
        </w:tc>
        <w:tc>
          <w:tcPr>
            <w:tcW w:type="dxa" w:w="1661"/>
          </w:tcPr>
          <w:p>
            <w:pPr>
              <w:pStyle w:val="null3"/>
              <w:jc w:val="left"/>
            </w:pPr>
            <w:r>
              <w:rPr/>
              <w:t>监管服务能力</w:t>
            </w:r>
          </w:p>
        </w:tc>
        <w:tc>
          <w:tcPr>
            <w:tcW w:type="dxa" w:w="2575"/>
          </w:tcPr>
          <w:p>
            <w:pPr>
              <w:pStyle w:val="null3"/>
              <w:jc w:val="left"/>
            </w:pPr>
            <w:r>
              <w:rPr/>
              <w:t>根据投标人提供的（2021年1月1日至递交投标文件截止日）投标人或投标人所属总公司及其下级机构中标的第三方医疗保障基金监管项目进行综合评分：每提供一个项目得1分，最高得9分。注：提供基金监管项目的中标（成交）通知书或合作协议（合同）复印件并进行电子签章。</w:t>
            </w:r>
          </w:p>
        </w:tc>
        <w:tc>
          <w:tcPr>
            <w:tcW w:type="dxa" w:w="831"/>
          </w:tcPr>
          <w:p>
            <w:pPr>
              <w:pStyle w:val="null3"/>
              <w:jc w:val="center"/>
            </w:pPr>
            <w:r>
              <w:rPr/>
              <w:t>9.00</w:t>
            </w:r>
          </w:p>
        </w:tc>
        <w:tc>
          <w:tcPr>
            <w:tcW w:type="dxa" w:w="748"/>
          </w:tcPr>
          <w:p>
            <w:pPr>
              <w:pStyle w:val="null3"/>
              <w:jc w:val="center"/>
            </w:pPr>
            <w:r>
              <w:rPr/>
              <w:t>客观</w:t>
            </w:r>
          </w:p>
        </w:tc>
        <w:tc>
          <w:tcPr>
            <w:tcW w:type="dxa" w:w="1661"/>
          </w:tcPr>
          <w:p>
            <w:pPr>
              <w:pStyle w:val="null3"/>
              <w:jc w:val="left"/>
            </w:pPr>
            <w:r>
              <w:rPr/>
              <w:t>投标人针对评标细则及标准应该提供的相关证明材料</w:t>
            </w:r>
          </w:p>
        </w:tc>
      </w:tr>
      <w:tr>
        <w:tc>
          <w:tcPr>
            <w:tcW w:type="dxa" w:w="831"/>
            <w:vMerge/>
          </w:tcPr>
          <w:p/>
        </w:tc>
        <w:tc>
          <w:tcPr>
            <w:tcW w:type="dxa" w:w="1661"/>
          </w:tcPr>
          <w:p>
            <w:pPr>
              <w:pStyle w:val="null3"/>
              <w:jc w:val="left"/>
            </w:pPr>
            <w:r>
              <w:rPr/>
              <w:t>综合实力</w:t>
            </w:r>
          </w:p>
        </w:tc>
        <w:tc>
          <w:tcPr>
            <w:tcW w:type="dxa" w:w="2575"/>
          </w:tcPr>
          <w:p>
            <w:pPr>
              <w:pStyle w:val="null3"/>
              <w:jc w:val="left"/>
            </w:pPr>
            <w:r>
              <w:rPr/>
              <w:t>根据投标人提供的（2021年1月1日至递交投标文件截止日）投标人或投标人所属总公司及其下属机构项目承办经验进行综合评分： 1.城乡居民大病保险：每有一个项目承办经验的得1分，本项最高得4分。 2.城镇职工大额医疗费用补助：每有一个项目承办经验的得1分，本项最高得4分。 注：提供对应项目中标（成交）通知书或合作协议（合同）复印件并进行电子签章。 3.快速理赔能力：从基本医保、商业保险“一站式”结算能力以及票据处理能力等方面进行评价，承诺即时提供“一站式”结算且能够通过信息化手段对票据信息进行快速处理的得6分，承诺中标后1个月内实现的得4分，承诺中标后3个月内实现的得2分。（注：第1项目提供相关证明材料；后面2项提供承诺函）</w:t>
            </w:r>
          </w:p>
        </w:tc>
        <w:tc>
          <w:tcPr>
            <w:tcW w:type="dxa" w:w="831"/>
          </w:tcPr>
          <w:p>
            <w:pPr>
              <w:pStyle w:val="null3"/>
              <w:jc w:val="center"/>
            </w:pPr>
            <w:r>
              <w:rPr/>
              <w:t>14.00</w:t>
            </w:r>
          </w:p>
        </w:tc>
        <w:tc>
          <w:tcPr>
            <w:tcW w:type="dxa" w:w="748"/>
          </w:tcPr>
          <w:p>
            <w:pPr>
              <w:pStyle w:val="null3"/>
              <w:jc w:val="center"/>
            </w:pPr>
            <w:r>
              <w:rPr/>
              <w:t>客观</w:t>
            </w:r>
          </w:p>
        </w:tc>
        <w:tc>
          <w:tcPr>
            <w:tcW w:type="dxa" w:w="1661"/>
          </w:tcPr>
          <w:p>
            <w:pPr>
              <w:pStyle w:val="null3"/>
              <w:jc w:val="left"/>
            </w:pPr>
            <w:r>
              <w:rPr/>
              <w:t>投标人针对评标细则及标准应该提供的相关证明材料</w:t>
            </w:r>
          </w:p>
        </w:tc>
      </w:tr>
      <w:tr>
        <w:tc>
          <w:tcPr>
            <w:tcW w:type="dxa" w:w="831"/>
            <w:vMerge/>
          </w:tcPr>
          <w:p/>
        </w:tc>
        <w:tc>
          <w:tcPr>
            <w:tcW w:type="dxa" w:w="1661"/>
          </w:tcPr>
          <w:p>
            <w:pPr>
              <w:pStyle w:val="null3"/>
              <w:jc w:val="left"/>
            </w:pPr>
            <w:r>
              <w:rPr/>
              <w:t>服务方案</w:t>
            </w:r>
          </w:p>
        </w:tc>
        <w:tc>
          <w:tcPr>
            <w:tcW w:type="dxa" w:w="2575"/>
          </w:tcPr>
          <w:p>
            <w:pPr>
              <w:pStyle w:val="null3"/>
              <w:jc w:val="left"/>
            </w:pPr>
            <w:r>
              <w:rPr/>
              <w:t>根据投标人提供的服务方案包含但不限于：1.项目现状分析（至少包含：对项目政策现状、待遇保障水平、多层次医疗保障水平阐述）；2.医保基金监管能力（从监管队伍建设、信息化监管工具等）；3.项目承接能力（从机构管理方案、经办队伍建设方案、政策宣传方案等方面）；4.后续服务能力等综合评定 ，以上4项方案全部提供并满足项目需求的得24分；每缺少一项方案的扣6分；每项方案中每有一处存在缺陷的扣3分，直至该项分值扣完为止； 注：缺陷指：项目名称错误、地点区域错误、内容与本项目需求无关、仅有框架或标题、明显复制其他项目内容等任意一种情形；</w:t>
            </w:r>
          </w:p>
        </w:tc>
        <w:tc>
          <w:tcPr>
            <w:tcW w:type="dxa" w:w="831"/>
          </w:tcPr>
          <w:p>
            <w:pPr>
              <w:pStyle w:val="null3"/>
              <w:jc w:val="center"/>
            </w:pPr>
            <w:r>
              <w:rPr/>
              <w:t>24.00</w:t>
            </w:r>
          </w:p>
        </w:tc>
        <w:tc>
          <w:tcPr>
            <w:tcW w:type="dxa" w:w="748"/>
          </w:tcPr>
          <w:p>
            <w:pPr>
              <w:pStyle w:val="null3"/>
              <w:jc w:val="center"/>
            </w:pPr>
            <w:r>
              <w:rPr/>
              <w:t>主观</w:t>
            </w:r>
          </w:p>
        </w:tc>
        <w:tc>
          <w:tcPr>
            <w:tcW w:type="dxa" w:w="1661"/>
          </w:tcPr>
          <w:p>
            <w:pPr>
              <w:pStyle w:val="null3"/>
              <w:jc w:val="left"/>
            </w:pPr>
            <w:r>
              <w:rPr/>
              <w:t>投标人针对评标细则及标准应该提供的相关证明材料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满足招标文件要求且报价最低的为评标基准价，价格得分=（评标基准价/报价）×分值</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报价明细表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详见附件：技术要求应答表</w:t>
      </w:r>
    </w:p>
    <w:p>
      <w:pPr>
        <w:pStyle w:val="null3"/>
        <w:ind w:firstLine="960"/>
        <w:jc w:val="left"/>
      </w:pPr>
      <w:r>
        <w:rPr/>
        <w:t>详见附件：具有独立承担民事责任的能力</w:t>
      </w:r>
    </w:p>
    <w:p>
      <w:pPr>
        <w:pStyle w:val="null3"/>
        <w:ind w:firstLine="960"/>
        <w:jc w:val="left"/>
      </w:pPr>
      <w:r>
        <w:rPr/>
        <w:t>详见附件：具有健全的财务会计制度</w:t>
      </w:r>
    </w:p>
    <w:p>
      <w:pPr>
        <w:pStyle w:val="null3"/>
        <w:ind w:firstLine="960"/>
        <w:jc w:val="left"/>
      </w:pPr>
      <w:r>
        <w:rPr/>
        <w:t>详见附件：其他要求应答表</w:t>
      </w:r>
    </w:p>
    <w:p>
      <w:pPr>
        <w:pStyle w:val="null3"/>
        <w:ind w:firstLine="960"/>
        <w:jc w:val="left"/>
      </w:pPr>
      <w:r>
        <w:rPr/>
        <w:t>详见附件：商务要求应答表</w:t>
      </w:r>
    </w:p>
    <w:p>
      <w:pPr>
        <w:pStyle w:val="null3"/>
        <w:ind w:firstLine="960"/>
        <w:jc w:val="left"/>
      </w:pPr>
      <w:r>
        <w:rPr/>
        <w:t>详见附件：投标人针对评标细则及标准应该提供的相关证明材料</w:t>
      </w:r>
    </w:p>
    <w:p>
      <w:pPr>
        <w:pStyle w:val="null3"/>
        <w:ind w:firstLine="960"/>
        <w:jc w:val="left"/>
      </w:pPr>
      <w:r>
        <w:rPr/>
        <w:t>详见附件：投标人针对特定资格审查提供的相关证明材料</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