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如对本项目进行实质性响应的供应商不足</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家但大于等于</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_GB2312" w:hAnsi="仿宋_GB2312" w:eastAsia="仿宋_GB2312" w:cs="仿宋_GB2312"/>
          <w:bCs/>
          <w:sz w:val="32"/>
          <w:szCs w:val="32"/>
          <w:lang w:val="en-US" w:eastAsia="zh-CN"/>
        </w:rPr>
        <w:t>60分时，</w:t>
      </w:r>
      <w:r>
        <w:rPr>
          <w:rFonts w:hint="eastAsia" w:ascii="仿宋_GB2312" w:hAnsi="仿宋_GB2312" w:eastAsia="仿宋_GB2312" w:cs="仿宋_GB2312"/>
          <w:bCs/>
          <w:sz w:val="32"/>
          <w:szCs w:val="32"/>
          <w:lang w:eastAsia="zh-CN"/>
        </w:rPr>
        <w:t>项目主办处室可以选择</w:t>
      </w:r>
      <w:r>
        <w:rPr>
          <w:rFonts w:hint="eastAsia" w:ascii="仿宋_GB2312" w:hAnsi="仿宋_GB2312" w:eastAsia="仿宋_GB2312" w:cs="仿宋_GB2312"/>
          <w:bCs/>
          <w:sz w:val="32"/>
          <w:szCs w:val="32"/>
          <w:lang w:val="en-US" w:eastAsia="zh-CN"/>
        </w:rPr>
        <w:t>本项目废标</w:t>
      </w:r>
      <w:r>
        <w:rPr>
          <w:rFonts w:hint="eastAsia" w:ascii="仿宋_GB2312" w:hAnsi="仿宋_GB2312" w:eastAsia="仿宋_GB2312" w:cs="仿宋_GB2312"/>
          <w:bCs/>
          <w:sz w:val="32"/>
          <w:szCs w:val="32"/>
          <w:lang w:eastAsia="zh-CN"/>
        </w:rPr>
        <w:t>。</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25分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注：供应商需提供相关证明材料，否则不予认可。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eastAsia="zh-CN"/>
              </w:rPr>
              <w:t>膳食营养、慢病预防，有膳食营养、慢病预防，尤其是膳食干预心血管疾病的课题项目相关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分、一般得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w:t>
            </w:r>
            <w:r>
              <w:rPr>
                <w:rFonts w:hint="eastAsia" w:ascii="仿宋_GB2312" w:hAnsi="仿宋_GB2312" w:eastAsia="仿宋_GB2312" w:cs="仿宋_GB2312"/>
                <w:color w:val="000000"/>
                <w:sz w:val="21"/>
                <w:szCs w:val="21"/>
                <w:lang w:val="en-US" w:eastAsia="zh-CN"/>
              </w:rPr>
              <w:t>65</w:t>
            </w:r>
            <w:r>
              <w:rPr>
                <w:rFonts w:hint="eastAsia" w:ascii="仿宋_GB2312" w:hAnsi="仿宋_GB2312" w:eastAsia="仿宋_GB2312" w:cs="仿宋_GB2312"/>
                <w:color w:val="000000"/>
                <w:sz w:val="21"/>
                <w:szCs w:val="21"/>
              </w:rPr>
              <w:t>分）</w:t>
            </w: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lang w:eastAsia="zh-CN"/>
              </w:rPr>
              <w:t>项目</w:t>
            </w:r>
            <w:bookmarkStart w:id="0" w:name="_GoBack"/>
            <w:bookmarkEnd w:id="0"/>
            <w:r>
              <w:rPr>
                <w:rFonts w:hint="eastAsia" w:ascii="仿宋_GB2312" w:hAnsi="宋体" w:eastAsia="仿宋_GB2312" w:cs="Times New Roman"/>
                <w:sz w:val="21"/>
                <w:szCs w:val="21"/>
              </w:rPr>
              <w:t>方案</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6331" w:type="dxa"/>
            <w:noWrap w:val="0"/>
            <w:vAlign w:val="center"/>
          </w:tcPr>
          <w:p>
            <w:pPr>
              <w:widowControl/>
              <w:jc w:val="left"/>
              <w:rPr>
                <w:rFonts w:hint="eastAsia" w:ascii="仿宋" w:hAnsi="仿宋" w:eastAsia="仿宋" w:cs="宋体"/>
                <w:color w:val="000000"/>
                <w:kern w:val="0"/>
                <w:sz w:val="18"/>
                <w:szCs w:val="18"/>
                <w:lang w:val="en-US" w:eastAsia="zh-CN" w:bidi="ar-SA"/>
              </w:rPr>
            </w:pPr>
            <w:r>
              <w:rPr>
                <w:rFonts w:hint="eastAsia" w:ascii="仿宋_GB2312" w:hAnsi="仿宋_GB2312" w:eastAsia="仿宋_GB2312" w:cs="仿宋_GB2312"/>
                <w:sz w:val="21"/>
                <w:szCs w:val="21"/>
              </w:rPr>
              <w:t>整体方案设计</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z w:val="21"/>
                <w:szCs w:val="21"/>
              </w:rPr>
              <w:t>工作流程计划：完善、合理，具有针对性，科学性、可操作性强，进度安排最合理高效，能够完全满足采购人需求得</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分；方案基本完整、合理，针对性、可操作性一般，进度安排基本满足需求得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分；方案一般，较简单，得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分；方案粗略、较差得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rPr>
              <w:t>需求理解和分析</w:t>
            </w:r>
          </w:p>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w:t>
            </w:r>
          </w:p>
        </w:tc>
        <w:tc>
          <w:tcPr>
            <w:tcW w:w="6331" w:type="dxa"/>
            <w:noWrap w:val="0"/>
            <w:vAlign w:val="center"/>
          </w:tcPr>
          <w:p>
            <w:pPr>
              <w:widowControl/>
              <w:spacing w:line="300" w:lineRule="exact"/>
              <w:jc w:val="both"/>
              <w:rPr>
                <w:rFonts w:hint="eastAsia" w:ascii="仿宋_GB2312" w:hAnsi="宋体" w:eastAsia="仿宋_GB2312" w:cs="Times New Roman"/>
                <w:sz w:val="21"/>
                <w:szCs w:val="21"/>
              </w:rPr>
            </w:pPr>
            <w:r>
              <w:rPr>
                <w:rFonts w:hint="eastAsia" w:ascii="仿宋_GB2312" w:hAnsi="宋体" w:eastAsia="仿宋_GB2312" w:cs="Times New Roman"/>
                <w:sz w:val="21"/>
                <w:szCs w:val="21"/>
              </w:rPr>
              <w:t>投标人对本项目的背景、工作内容、</w:t>
            </w:r>
            <w:r>
              <w:rPr>
                <w:rFonts w:hint="eastAsia" w:ascii="仿宋_GB2312" w:hAnsi="宋体" w:eastAsia="仿宋_GB2312" w:cs="Times New Roman"/>
                <w:sz w:val="21"/>
                <w:szCs w:val="21"/>
                <w:lang w:eastAsia="zh-CN"/>
              </w:rPr>
              <w:t>课题研究</w:t>
            </w:r>
            <w:r>
              <w:rPr>
                <w:rFonts w:hint="eastAsia" w:ascii="仿宋_GB2312" w:hAnsi="宋体" w:eastAsia="仿宋_GB2312" w:cs="Times New Roman"/>
                <w:sz w:val="21"/>
                <w:szCs w:val="21"/>
              </w:rPr>
              <w:t>目标的理解程度及相关分析情况：项目需求分析内容完整、分析透彻、理解项目要求，得</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分；提供了通用、简单的分析理解，基本符合采购需求，或理解程度不够深入，得</w:t>
            </w:r>
            <w:r>
              <w:rPr>
                <w:rFonts w:hint="eastAsia" w:ascii="仿宋_GB2312" w:hAnsi="宋体" w:eastAsia="仿宋_GB2312" w:cs="Times New Roman"/>
                <w:sz w:val="21"/>
                <w:szCs w:val="21"/>
                <w:lang w:val="en-US" w:eastAsia="zh-CN"/>
              </w:rPr>
              <w:t>5</w:t>
            </w:r>
            <w:r>
              <w:rPr>
                <w:rFonts w:hint="eastAsia" w:ascii="仿宋_GB2312" w:hAnsi="宋体" w:eastAsia="仿宋_GB2312" w:cs="Times New Roman"/>
                <w:sz w:val="21"/>
                <w:szCs w:val="21"/>
              </w:rPr>
              <w:t>分；需求分析内容有偏差、未理解项目工作要求，得0分。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restart"/>
            <w:noWrap w:val="0"/>
            <w:vAlign w:val="center"/>
          </w:tcPr>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r>
              <w:rPr>
                <w:rFonts w:hint="eastAsia" w:ascii="仿宋_GB2312" w:hAnsi="仿宋_GB2312" w:eastAsia="仿宋_GB2312" w:cs="仿宋_GB2312"/>
                <w:sz w:val="21"/>
                <w:szCs w:val="21"/>
                <w:lang w:eastAsia="zh-CN"/>
              </w:rPr>
              <w:t>膳食营养与慢病预防项目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tcBorders/>
            <w:noWrap w:val="0"/>
            <w:vAlign w:val="center"/>
          </w:tcPr>
          <w:p>
            <w:pPr>
              <w:widowControl/>
              <w:spacing w:line="300" w:lineRule="exact"/>
              <w:jc w:val="center"/>
              <w:rPr>
                <w:rFonts w:hint="eastAsia" w:ascii="仿宋_GB2312" w:hAnsi="宋体" w:eastAsia="仿宋_GB2312" w:cs="Times New Roman"/>
                <w:sz w:val="21"/>
                <w:szCs w:val="21"/>
                <w:lang w:eastAsia="zh-CN"/>
              </w:rPr>
            </w:pP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进度安排</w:t>
            </w:r>
          </w:p>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10分</w:t>
            </w:r>
            <w:r>
              <w:rPr>
                <w:rFonts w:hint="eastAsia" w:ascii="仿宋_GB2312" w:hAnsi="宋体" w:eastAsia="仿宋_GB2312" w:cs="Times New Roman"/>
                <w:sz w:val="21"/>
                <w:szCs w:val="21"/>
                <w:lang w:eastAsia="zh-CN"/>
              </w:rPr>
              <w:t>）</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分；一般的，得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ED3C224"/>
    <w:rsid w:val="473506D4"/>
    <w:rsid w:val="4D7FAF96"/>
    <w:rsid w:val="4EEFA017"/>
    <w:rsid w:val="75B7D338"/>
    <w:rsid w:val="7AFFAF45"/>
    <w:rsid w:val="7B562D59"/>
    <w:rsid w:val="7CAFFD4A"/>
    <w:rsid w:val="7EBFBB05"/>
    <w:rsid w:val="9BF536EB"/>
    <w:rsid w:val="F7E91B36"/>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7</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2022-04-20T20:00:00Z</dcterms:created>
  <dc:creator>强文晓</dc:creator>
  <cp:lastModifiedBy>user</cp:lastModifiedBy>
  <dcterms:modified xsi:type="dcterms:W3CDTF">2025-02-18T15:11:36Z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