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AC5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p>
    <w:p w14:paraId="364427C8">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eastAsia="方正小标宋简体"/>
          <w:color w:val="191919"/>
          <w:sz w:val="44"/>
          <w:szCs w:val="44"/>
          <w:shd w:val="clear" w:color="auto" w:fill="FFFFFF"/>
        </w:rPr>
      </w:pPr>
      <w:bookmarkStart w:id="0" w:name="_GoBack"/>
      <w:r>
        <w:rPr>
          <w:rFonts w:eastAsia="方正小标宋简体"/>
          <w:color w:val="191919"/>
          <w:sz w:val="44"/>
          <w:szCs w:val="44"/>
          <w:shd w:val="clear" w:color="auto" w:fill="FFFFFF"/>
        </w:rPr>
        <w:t>换证工作程序</w:t>
      </w:r>
    </w:p>
    <w:bookmarkEnd w:id="0"/>
    <w:p w14:paraId="68EC95F2">
      <w:pPr>
        <w:overflowPunct w:val="0"/>
        <w:spacing w:line="579" w:lineRule="exact"/>
        <w:ind w:firstLine="593"/>
        <w:jc w:val="left"/>
        <w:rPr>
          <w:rFonts w:eastAsia="楷体_GB2312"/>
          <w:color w:val="191919"/>
          <w:szCs w:val="32"/>
          <w:shd w:val="clear" w:color="auto" w:fill="FFFFFF"/>
        </w:rPr>
      </w:pPr>
    </w:p>
    <w:p w14:paraId="2C29B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楷体" w:hAnsi="楷体" w:eastAsia="楷体" w:cs="楷体"/>
          <w:sz w:val="32"/>
          <w:szCs w:val="32"/>
          <w:lang w:val="en-US" w:eastAsia="zh-CN"/>
        </w:rPr>
        <w:t>企业自查。</w:t>
      </w:r>
      <w:r>
        <w:rPr>
          <w:rFonts w:hint="eastAsia" w:ascii="Times New Roman" w:hAnsi="Times New Roman" w:eastAsia="仿宋_GB2312" w:cs="Times New Roman"/>
          <w:sz w:val="32"/>
          <w:szCs w:val="32"/>
          <w:lang w:val="en-US" w:eastAsia="zh-CN"/>
        </w:rPr>
        <w:t>采取风险评估换证方法换发《药品经营许可证》的拟换证企业，经自查合格后，将风险评估换证审查表、《药品经营许可证》有效期届满前三年内最近一次检查报告、整改报告报属地稽查处。</w:t>
      </w:r>
    </w:p>
    <w:p w14:paraId="2AC063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属地稽查处对企业提交的检查报告、整改报告进行核实，并在风险评估换证审查表上签署“符合风险评估换证要求”或“不符合风险评估换证要求，建议开展GSP符合性检查”等意见后，2个工作日内流转至省局行政许可处。</w:t>
      </w:r>
    </w:p>
    <w:p w14:paraId="37226A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 </w:t>
      </w:r>
      <w:r>
        <w:rPr>
          <w:rFonts w:hint="eastAsia" w:ascii="楷体" w:hAnsi="楷体" w:eastAsia="楷体" w:cs="楷体"/>
          <w:sz w:val="32"/>
          <w:szCs w:val="32"/>
          <w:lang w:val="en-US" w:eastAsia="zh-CN"/>
        </w:rPr>
        <w:t>企业申报。</w:t>
      </w:r>
      <w:r>
        <w:rPr>
          <w:rFonts w:hint="eastAsia" w:ascii="Times New Roman" w:hAnsi="Times New Roman" w:eastAsia="仿宋_GB2312" w:cs="Times New Roman"/>
          <w:sz w:val="32"/>
          <w:szCs w:val="32"/>
          <w:lang w:val="en-US" w:eastAsia="zh-CN"/>
        </w:rPr>
        <w:t>拟换证企业在《药品经营许可证》有效期届满前六个月至两个月期间，登录黑龙江政府服务网，向省药监局提出换证申请。同时将申报纸质材料加盖公章并在全套材料上加盖骑缝公章，邮寄或现场提交至省政府服务中心（哈尔滨市南岗区中山路181号3楼B区）。经营地址位于哈尔滨新区的，需将材料提交至哈尔滨新区审批局（哈尔滨市松北区创新路118号）；经营地址位于绥芬河自贸区的，需将材料提交至绥芬河市市场监督管理局注册分局（绥芬河市新兴街60号政务服务中心（原劳动保障大厦）一楼右侧）。</w:t>
      </w:r>
    </w:p>
    <w:p w14:paraId="4E14CF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3. </w:t>
      </w:r>
      <w:r>
        <w:rPr>
          <w:rFonts w:hint="eastAsia" w:ascii="楷体" w:hAnsi="楷体" w:eastAsia="楷体" w:cs="楷体"/>
          <w:b w:val="0"/>
          <w:bCs w:val="0"/>
          <w:sz w:val="32"/>
          <w:szCs w:val="32"/>
          <w:lang w:val="en-US" w:eastAsia="zh-CN"/>
        </w:rPr>
        <w:t>受理审查。</w:t>
      </w:r>
      <w:r>
        <w:rPr>
          <w:rFonts w:hint="eastAsia" w:ascii="Times New Roman" w:hAnsi="Times New Roman" w:eastAsia="仿宋_GB2312" w:cs="Times New Roman"/>
          <w:sz w:val="32"/>
          <w:szCs w:val="32"/>
          <w:lang w:val="en-US" w:eastAsia="zh-CN"/>
        </w:rPr>
        <w:t>发证机关对企业提交的材料进行审查。符合要求的，依法受理，并出具《行政许可受理通知书》；未通过审查的，出具《行政许可不予受理通知书》，并在通知书上说明具体理由。</w:t>
      </w:r>
    </w:p>
    <w:p w14:paraId="39CDBD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4. </w:t>
      </w:r>
      <w:r>
        <w:rPr>
          <w:rFonts w:hint="eastAsia" w:ascii="楷体" w:hAnsi="楷体" w:eastAsia="楷体" w:cs="楷体"/>
          <w:b w:val="0"/>
          <w:bCs w:val="0"/>
          <w:sz w:val="32"/>
          <w:szCs w:val="32"/>
          <w:lang w:val="en-US" w:eastAsia="zh-CN"/>
        </w:rPr>
        <w:t>现场检查。</w:t>
      </w:r>
      <w:r>
        <w:rPr>
          <w:rFonts w:hint="eastAsia" w:ascii="Times New Roman" w:hAnsi="Times New Roman" w:eastAsia="仿宋_GB2312" w:cs="Times New Roman"/>
          <w:sz w:val="32"/>
          <w:szCs w:val="32"/>
          <w:lang w:val="en-US" w:eastAsia="zh-CN"/>
        </w:rPr>
        <w:t>对需进行GSP符合性检查的企业，发证机关审核合格后2个工作日内将材料转交派出检查单位或技术支持部门（省药品审核查验中心或行政许可处）开展现场检查。按照“先报先检，临期快检”的原则，派出检查单位（省药品审核查验中心）5个工作日内抽取检查组开展检查工作。</w:t>
      </w:r>
    </w:p>
    <w:p w14:paraId="24350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5. </w:t>
      </w:r>
      <w:r>
        <w:rPr>
          <w:rFonts w:hint="eastAsia" w:ascii="楷体" w:hAnsi="楷体" w:eastAsia="楷体" w:cs="楷体"/>
          <w:sz w:val="32"/>
          <w:szCs w:val="32"/>
          <w:lang w:val="en-US" w:eastAsia="zh-CN"/>
        </w:rPr>
        <w:t>综合评定。</w:t>
      </w:r>
      <w:r>
        <w:rPr>
          <w:rFonts w:hint="eastAsia" w:ascii="Times New Roman" w:hAnsi="Times New Roman" w:eastAsia="仿宋_GB2312" w:cs="Times New Roman"/>
          <w:sz w:val="32"/>
          <w:szCs w:val="32"/>
          <w:lang w:val="en-US" w:eastAsia="zh-CN"/>
        </w:rPr>
        <w:t>按照《黑龙江省药品监督管理局药品医疗器械化妆品行政许可检查实施办法（试行）》有关规定，派出检查单位（省药品审核查验中心）对检查组的检查报告及企业的整改报告进行审查，形成综合评定结论，出具《检查综合评定报告书》报发证机关。</w:t>
      </w:r>
    </w:p>
    <w:p w14:paraId="200EF6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6. </w:t>
      </w:r>
      <w:r>
        <w:rPr>
          <w:rFonts w:hint="eastAsia" w:ascii="楷体" w:hAnsi="楷体" w:eastAsia="楷体" w:cs="楷体"/>
          <w:sz w:val="32"/>
          <w:szCs w:val="32"/>
          <w:lang w:val="en-US" w:eastAsia="zh-CN"/>
        </w:rPr>
        <w:t>审批发证。</w:t>
      </w:r>
      <w:r>
        <w:rPr>
          <w:rFonts w:hint="eastAsia" w:ascii="Times New Roman" w:hAnsi="Times New Roman" w:eastAsia="仿宋_GB2312" w:cs="Times New Roman"/>
          <w:sz w:val="32"/>
          <w:szCs w:val="32"/>
          <w:lang w:val="en-US" w:eastAsia="zh-CN"/>
        </w:rPr>
        <w:t>发证机关根据《检查综合评定报告书》及企业申报材料，作出是否准予行政许可的决定。准予行政许可的，换发新证书（新证自审批之日起，有效期5年）。不予行政许可的，将出具《不予行政许可决定书》，并说明理由。</w:t>
      </w:r>
    </w:p>
    <w:p w14:paraId="1D37BA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p>
    <w:p w14:paraId="0FBAD6AF">
      <w:pPr>
        <w:overflowPunct w:val="0"/>
        <w:spacing w:line="579" w:lineRule="exact"/>
        <w:rPr>
          <w:rFonts w:eastAsia="仿宋"/>
          <w:color w:val="191919"/>
          <w:kern w:val="0"/>
          <w:szCs w:val="32"/>
          <w:shd w:val="clear" w:color="auto" w:fill="FFFFFF"/>
          <w:lang w:bidi="ar"/>
        </w:rPr>
      </w:pPr>
    </w:p>
    <w:p w14:paraId="2B3E1288">
      <w:pPr>
        <w:overflowPunct w:val="0"/>
        <w:spacing w:line="579" w:lineRule="exact"/>
        <w:rPr>
          <w:rFonts w:eastAsia="仿宋"/>
          <w:color w:val="191919"/>
          <w:kern w:val="0"/>
          <w:szCs w:val="32"/>
          <w:shd w:val="clear" w:color="auto" w:fill="FFFFFF"/>
          <w:lang w:bidi="ar"/>
        </w:rPr>
      </w:pPr>
    </w:p>
    <w:p w14:paraId="4817B403">
      <w:pPr>
        <w:overflowPunct w:val="0"/>
        <w:spacing w:line="579" w:lineRule="exact"/>
        <w:rPr>
          <w:rFonts w:eastAsia="仿宋"/>
          <w:color w:val="191919"/>
          <w:kern w:val="0"/>
          <w:szCs w:val="32"/>
          <w:shd w:val="clear" w:color="auto" w:fill="FFFFFF"/>
          <w:lang w:bidi="ar"/>
        </w:rPr>
      </w:pPr>
    </w:p>
    <w:p w14:paraId="629C9763">
      <w:pPr>
        <w:overflowPunct w:val="0"/>
        <w:spacing w:line="579" w:lineRule="exact"/>
        <w:jc w:val="left"/>
        <w:rPr>
          <w:color w:val="333333"/>
          <w:sz w:val="36"/>
          <w:szCs w:val="36"/>
          <w:shd w:val="clear" w:color="auto" w:fill="FFFFFF"/>
        </w:rPr>
      </w:pPr>
    </w:p>
    <w:p w14:paraId="3E570860">
      <w:pPr>
        <w:overflowPunct w:val="0"/>
        <w:spacing w:line="579" w:lineRule="exact"/>
        <w:jc w:val="left"/>
        <w:rPr>
          <w:color w:val="333333"/>
          <w:sz w:val="36"/>
          <w:szCs w:val="36"/>
          <w:shd w:val="clear" w:color="auto" w:fill="FFFFFF"/>
        </w:rPr>
      </w:pPr>
    </w:p>
    <w:p w14:paraId="7A861B84">
      <w:pPr>
        <w:overflowPunct w:val="0"/>
        <w:spacing w:line="579" w:lineRule="exact"/>
        <w:jc w:val="left"/>
        <w:rPr>
          <w:color w:val="333333"/>
          <w:sz w:val="36"/>
          <w:szCs w:val="36"/>
          <w:shd w:val="clear" w:color="auto" w:fill="FFFFFF"/>
        </w:rPr>
      </w:pPr>
    </w:p>
    <w:p w14:paraId="6CA28D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474F0"/>
    <w:rsid w:val="0F7474F0"/>
    <w:rsid w:val="11400146"/>
    <w:rsid w:val="149E5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Calibri" w:hAnsi="Calibri" w:eastAsia="仿宋_GB2312" w:cs="Times New Roman"/>
      <w:kern w:val="2"/>
      <w:sz w:val="32"/>
      <w:szCs w:val="32"/>
      <w:lang w:val="en-US" w:eastAsia="zh-CN" w:bidi="ar-SA"/>
    </w:rPr>
  </w:style>
  <w:style w:type="paragraph" w:styleId="3">
    <w:name w:val="footer"/>
    <w:basedOn w:val="1"/>
    <w:next w:val="2"/>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1719</Words>
  <Characters>1745</Characters>
  <Lines>0</Lines>
  <Paragraphs>0</Paragraphs>
  <TotalTime>7</TotalTime>
  <ScaleCrop>false</ScaleCrop>
  <LinksUpToDate>false</LinksUpToDate>
  <CharactersWithSpaces>1769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2025-02-17T07:43:00Z</dcterms:created>
  <dc:creator>粉切黑</dc:creator>
  <cp:lastModifiedBy>Administrator</cp:lastModifiedBy>
  <dcterms:modified xsi:type="dcterms:W3CDTF">2025-02-17T08:16:22Z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3D6AC8A85CA240E8B35E76B631EFBA96_11</vt:lpwstr>
  </property>
  <property fmtid="{D5CDD505-2E9C-101B-9397-08002B2CF9AE}" pid="4" name="KSOTemplateDocerSaveRecord">
    <vt:lpwstr>eyJoZGlkIjoiZWNlMjFlZGIyMWE2ZDI4MTc0Y2I5ZWM0ZGZjMDU5NWEifQ==</vt:lpwstr>
  </property>
</Properties>
</file>