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DD1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color w:val="auto"/>
          <w:sz w:val="44"/>
          <w:szCs w:val="44"/>
          <w:u w:val="none"/>
        </w:rPr>
      </w:pPr>
      <w:r>
        <w:rPr>
          <w:rStyle w:val="12"/>
          <w:rFonts w:hint="eastAsia" w:ascii="方正小标宋简体" w:hAnsi="方正小标宋简体" w:eastAsia="方正小标宋简体" w:cs="方正小标宋简体"/>
          <w:b w:val="0"/>
          <w:bCs w:val="0"/>
          <w:color w:val="auto"/>
          <w:sz w:val="44"/>
          <w:szCs w:val="44"/>
          <w:u w:val="none"/>
        </w:rPr>
        <w:t>国家中医药管理局重点实验室管理办法</w:t>
      </w:r>
    </w:p>
    <w:p w14:paraId="468A0888">
      <w:pPr>
        <w:pStyle w:val="8"/>
        <w:spacing w:before="0" w:beforeAutospacing="0" w:after="0" w:afterAutospacing="0"/>
        <w:jc w:val="center"/>
        <w:rPr>
          <w:rFonts w:hint="eastAsia" w:ascii="仿宋_GB2312" w:eastAsia="仿宋_GB2312"/>
          <w:color w:val="auto"/>
          <w:szCs w:val="32"/>
          <w:u w:val="none"/>
          <w:lang w:eastAsia="zh-CN"/>
        </w:rPr>
      </w:pPr>
    </w:p>
    <w:p w14:paraId="0320F3F0">
      <w:pPr>
        <w:pStyle w:val="8"/>
        <w:spacing w:before="0" w:beforeAutospacing="0" w:after="0" w:afterAutospacing="0"/>
        <w:jc w:val="center"/>
        <w:rPr>
          <w:rFonts w:hint="eastAsia" w:ascii="仿宋_GB2312" w:eastAsia="仿宋_GB2312"/>
          <w:color w:val="auto"/>
          <w:szCs w:val="32"/>
          <w:u w:val="none"/>
          <w:lang w:eastAsia="zh-CN"/>
        </w:rPr>
      </w:pPr>
    </w:p>
    <w:p w14:paraId="7BF6FA5D">
      <w:pPr>
        <w:pStyle w:val="8"/>
        <w:spacing w:before="0" w:beforeAutospacing="0" w:after="0" w:afterAutospacing="0"/>
        <w:jc w:val="center"/>
        <w:rPr>
          <w:rFonts w:hint="eastAsia" w:ascii="黑体" w:hAnsi="黑体" w:eastAsia="黑体" w:cs="黑体"/>
          <w:color w:val="auto"/>
          <w:sz w:val="32"/>
          <w:szCs w:val="32"/>
          <w:u w:val="none"/>
          <w:lang w:eastAsia="zh-CN"/>
        </w:rPr>
      </w:pPr>
      <w:r>
        <w:rPr>
          <w:rStyle w:val="12"/>
          <w:rFonts w:hint="eastAsia" w:ascii="黑体" w:hAnsi="黑体" w:eastAsia="黑体" w:cs="黑体"/>
          <w:b w:val="0"/>
          <w:bCs w:val="0"/>
          <w:color w:val="auto"/>
          <w:sz w:val="32"/>
          <w:szCs w:val="32"/>
          <w:u w:val="none"/>
        </w:rPr>
        <w:t xml:space="preserve">第一章 总 </w:t>
      </w:r>
      <w:r>
        <w:rPr>
          <w:rStyle w:val="12"/>
          <w:rFonts w:hint="eastAsia" w:ascii="黑体" w:hAnsi="黑体" w:eastAsia="黑体" w:cs="黑体"/>
          <w:b w:val="0"/>
          <w:bCs w:val="0"/>
          <w:color w:val="auto"/>
          <w:sz w:val="32"/>
          <w:szCs w:val="32"/>
          <w:u w:val="none"/>
          <w:lang w:val="en-US" w:eastAsia="zh-CN"/>
        </w:rPr>
        <w:t xml:space="preserve"> </w:t>
      </w:r>
      <w:r>
        <w:rPr>
          <w:rStyle w:val="12"/>
          <w:rFonts w:hint="eastAsia" w:ascii="黑体" w:hAnsi="黑体" w:eastAsia="黑体" w:cs="黑体"/>
          <w:b w:val="0"/>
          <w:bCs w:val="0"/>
          <w:color w:val="auto"/>
          <w:sz w:val="32"/>
          <w:szCs w:val="32"/>
          <w:u w:val="none"/>
        </w:rPr>
        <w:t>则</w:t>
      </w:r>
    </w:p>
    <w:p w14:paraId="58AF4422">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第一条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为</w:t>
      </w:r>
      <w:r>
        <w:rPr>
          <w:rFonts w:hint="eastAsia" w:ascii="仿宋_GB2312" w:eastAsia="仿宋_GB2312"/>
          <w:color w:val="auto"/>
          <w:sz w:val="32"/>
          <w:szCs w:val="32"/>
          <w:u w:val="none"/>
          <w:lang w:val="en-US" w:eastAsia="zh-CN"/>
        </w:rPr>
        <w:t>构建完善的中医药科技创新体系，规范国家中医药管理局重点实验室</w:t>
      </w:r>
      <w:r>
        <w:rPr>
          <w:rFonts w:hint="eastAsia" w:ascii="仿宋_GB2312" w:eastAsia="仿宋_GB2312"/>
          <w:color w:val="auto"/>
          <w:sz w:val="32"/>
          <w:szCs w:val="32"/>
          <w:u w:val="none"/>
        </w:rPr>
        <w:t>（以下简称“重点实验室”）建设和运行，</w:t>
      </w:r>
      <w:r>
        <w:rPr>
          <w:rFonts w:hint="eastAsia" w:ascii="仿宋_GB2312" w:eastAsia="仿宋_GB2312"/>
          <w:color w:val="auto"/>
          <w:sz w:val="32"/>
          <w:szCs w:val="32"/>
          <w:u w:val="none"/>
          <w:lang w:val="en-US" w:eastAsia="zh-CN"/>
        </w:rPr>
        <w:t>依据《健康中国2030规划纲要》《中共中央 国务院关于促进中医药传承创新发展的意见》</w:t>
      </w:r>
      <w:r>
        <w:rPr>
          <w:rFonts w:hint="eastAsia" w:ascii="仿宋_GB2312" w:eastAsia="仿宋_GB2312"/>
          <w:color w:val="auto"/>
          <w:sz w:val="32"/>
          <w:szCs w:val="32"/>
          <w:u w:val="none"/>
        </w:rPr>
        <w:t>制定本办法。</w:t>
      </w:r>
    </w:p>
    <w:p w14:paraId="39C915A7">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第二条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重点实验室是国家中医药管理局中医药基础研究和应用基础研究平台，</w:t>
      </w:r>
      <w:r>
        <w:rPr>
          <w:rFonts w:hint="eastAsia" w:ascii="仿宋_GB2312" w:eastAsia="仿宋_GB2312"/>
          <w:color w:val="auto"/>
          <w:sz w:val="32"/>
          <w:szCs w:val="32"/>
          <w:u w:val="none"/>
          <w:lang w:val="en-US" w:eastAsia="zh-CN"/>
        </w:rPr>
        <w:t>是国家中医药科技创新体系的重要组成部分，是推动中医药和现代科学相结合、相促进</w:t>
      </w:r>
      <w:r>
        <w:rPr>
          <w:rFonts w:hint="eastAsia" w:ascii="仿宋_GB2312" w:eastAsia="仿宋_GB2312"/>
          <w:color w:val="auto"/>
          <w:sz w:val="32"/>
          <w:szCs w:val="32"/>
          <w:u w:val="none"/>
        </w:rPr>
        <w:t>的重要基地。</w:t>
      </w:r>
    </w:p>
    <w:p w14:paraId="1BD0347D">
      <w:pPr>
        <w:ind w:firstLine="640" w:firstLineChars="200"/>
        <w:jc w:val="both"/>
        <w:rPr>
          <w:rFonts w:ascii="仿宋_GB2312" w:eastAsia="仿宋_GB2312" w:hAnsiTheme="minorHAnsi" w:cstheme="minorBidi"/>
          <w:color w:val="auto"/>
          <w:sz w:val="32"/>
          <w:szCs w:val="32"/>
          <w:u w:val="none"/>
        </w:rPr>
      </w:pPr>
      <w:r>
        <w:rPr>
          <w:rFonts w:hint="eastAsia" w:ascii="黑体" w:hAnsi="黑体" w:eastAsia="黑体" w:cs="黑体"/>
          <w:color w:val="auto"/>
          <w:sz w:val="32"/>
          <w:szCs w:val="32"/>
          <w:u w:val="none"/>
        </w:rPr>
        <w:t>第三条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重点实验室的主要任务是</w:t>
      </w:r>
      <w:r>
        <w:rPr>
          <w:rFonts w:hint="eastAsia" w:ascii="仿宋_GB2312" w:eastAsia="仿宋_GB2312"/>
          <w:color w:val="auto"/>
          <w:sz w:val="32"/>
          <w:szCs w:val="32"/>
          <w:u w:val="none"/>
          <w:lang w:val="en-US" w:eastAsia="zh-CN"/>
        </w:rPr>
        <w:t>坚持“四个面向”的战略导向</w:t>
      </w:r>
      <w:r>
        <w:rPr>
          <w:rFonts w:hint="eastAsia" w:ascii="仿宋_GB2312" w:eastAsia="仿宋_GB2312"/>
          <w:color w:val="auto"/>
          <w:sz w:val="32"/>
          <w:szCs w:val="32"/>
          <w:u w:val="none"/>
        </w:rPr>
        <w:t>，开展</w:t>
      </w:r>
      <w:r>
        <w:rPr>
          <w:rFonts w:hint="eastAsia" w:ascii="仿宋_GB2312" w:eastAsia="仿宋_GB2312"/>
          <w:color w:val="auto"/>
          <w:sz w:val="32"/>
          <w:szCs w:val="32"/>
          <w:u w:val="none"/>
          <w:lang w:val="en-US" w:eastAsia="zh-CN"/>
        </w:rPr>
        <w:t>中医药</w:t>
      </w:r>
      <w:r>
        <w:rPr>
          <w:rFonts w:hint="eastAsia" w:ascii="仿宋_GB2312" w:eastAsia="仿宋_GB2312"/>
          <w:color w:val="auto"/>
          <w:sz w:val="32"/>
          <w:szCs w:val="32"/>
          <w:u w:val="none"/>
        </w:rPr>
        <w:t>原创性研究和科技攻关，</w:t>
      </w:r>
      <w:r>
        <w:rPr>
          <w:rFonts w:hint="eastAsia" w:ascii="仿宋_GB2312" w:eastAsia="仿宋_GB2312"/>
          <w:color w:val="auto"/>
          <w:sz w:val="32"/>
          <w:szCs w:val="32"/>
          <w:u w:val="none"/>
          <w:lang w:val="en-US" w:eastAsia="zh-CN"/>
        </w:rPr>
        <w:t>解决</w:t>
      </w:r>
      <w:r>
        <w:rPr>
          <w:rFonts w:hint="eastAsia" w:ascii="仿宋_GB2312" w:eastAsia="仿宋_GB2312"/>
          <w:color w:val="auto"/>
          <w:sz w:val="32"/>
          <w:szCs w:val="32"/>
          <w:u w:val="none"/>
        </w:rPr>
        <w:t>中医药</w:t>
      </w:r>
      <w:r>
        <w:rPr>
          <w:rFonts w:hint="eastAsia" w:ascii="仿宋_GB2312" w:eastAsia="仿宋_GB2312"/>
          <w:color w:val="auto"/>
          <w:sz w:val="32"/>
          <w:szCs w:val="32"/>
          <w:u w:val="none"/>
          <w:lang w:val="en-US" w:eastAsia="zh-CN"/>
        </w:rPr>
        <w:t>基础</w:t>
      </w:r>
      <w:bookmarkStart w:id="0" w:name="_GoBack"/>
      <w:bookmarkEnd w:id="0"/>
      <w:r>
        <w:rPr>
          <w:rFonts w:hint="eastAsia" w:ascii="仿宋_GB2312" w:eastAsia="仿宋_GB2312"/>
          <w:color w:val="auto"/>
          <w:sz w:val="32"/>
          <w:szCs w:val="32"/>
          <w:u w:val="none"/>
          <w:lang w:val="en-US" w:eastAsia="zh-CN"/>
        </w:rPr>
        <w:t>性、关键性、前沿性、战略性科学问题</w:t>
      </w:r>
      <w:r>
        <w:rPr>
          <w:rFonts w:hint="eastAsia" w:ascii="仿宋_GB2312" w:eastAsia="仿宋_GB2312"/>
          <w:color w:val="auto"/>
          <w:sz w:val="32"/>
          <w:szCs w:val="32"/>
          <w:u w:val="none"/>
        </w:rPr>
        <w:t>，取得</w:t>
      </w:r>
      <w:r>
        <w:rPr>
          <w:rFonts w:hint="eastAsia" w:ascii="仿宋_GB2312" w:eastAsia="仿宋_GB2312"/>
          <w:color w:val="auto"/>
          <w:sz w:val="32"/>
          <w:szCs w:val="32"/>
          <w:u w:val="none"/>
          <w:lang w:val="en-US" w:eastAsia="zh-CN"/>
        </w:rPr>
        <w:t>自主创新</w:t>
      </w:r>
      <w:r>
        <w:rPr>
          <w:rFonts w:hint="eastAsia" w:ascii="仿宋_GB2312" w:eastAsia="仿宋_GB2312"/>
          <w:color w:val="auto"/>
          <w:sz w:val="32"/>
          <w:szCs w:val="32"/>
          <w:u w:val="none"/>
        </w:rPr>
        <w:t>成果，培育科技领军</w:t>
      </w:r>
      <w:r>
        <w:rPr>
          <w:rFonts w:hint="eastAsia" w:ascii="仿宋_GB2312" w:eastAsia="仿宋_GB2312"/>
          <w:color w:val="auto"/>
          <w:sz w:val="32"/>
          <w:szCs w:val="32"/>
          <w:u w:val="none"/>
          <w:lang w:val="en-US" w:eastAsia="zh-CN"/>
        </w:rPr>
        <w:t>人才</w:t>
      </w:r>
      <w:r>
        <w:rPr>
          <w:rFonts w:hint="eastAsia" w:ascii="仿宋_GB2312" w:eastAsia="仿宋_GB2312"/>
          <w:color w:val="auto"/>
          <w:sz w:val="32"/>
          <w:szCs w:val="32"/>
          <w:u w:val="none"/>
        </w:rPr>
        <w:t>和高水平的专业化队伍，</w:t>
      </w:r>
      <w:r>
        <w:rPr>
          <w:rFonts w:hint="eastAsia" w:ascii="仿宋_GB2312" w:eastAsia="仿宋_GB2312"/>
          <w:color w:val="auto"/>
          <w:sz w:val="32"/>
          <w:szCs w:val="32"/>
          <w:u w:val="none"/>
          <w:lang w:val="en-US" w:eastAsia="zh-CN"/>
        </w:rPr>
        <w:t>促进中医药事业和产业发展</w:t>
      </w:r>
      <w:r>
        <w:rPr>
          <w:rFonts w:hint="eastAsia" w:ascii="仿宋_GB2312" w:eastAsia="仿宋_GB2312" w:hAnsiTheme="minorHAnsi" w:cstheme="minorBidi"/>
          <w:color w:val="auto"/>
          <w:sz w:val="32"/>
          <w:szCs w:val="32"/>
          <w:u w:val="none"/>
        </w:rPr>
        <w:t>。</w:t>
      </w:r>
    </w:p>
    <w:p w14:paraId="086465DA">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第四条</w:t>
      </w:r>
      <w:r>
        <w:rPr>
          <w:rFonts w:hint="eastAsia" w:ascii="仿宋_GB2312" w:eastAsia="仿宋_GB2312"/>
          <w:color w:val="auto"/>
          <w:sz w:val="32"/>
          <w:szCs w:val="32"/>
          <w:u w:val="none"/>
        </w:rPr>
        <w:t xml:space="preserve">  重点实验室实行依托单位领导下的主任负责制和“开放、流动、联合、竞争”的运行模式，具备</w:t>
      </w:r>
      <w:r>
        <w:rPr>
          <w:rFonts w:hint="eastAsia" w:ascii="仿宋_GB2312" w:eastAsia="仿宋_GB2312"/>
          <w:color w:val="auto"/>
          <w:sz w:val="32"/>
          <w:szCs w:val="32"/>
          <w:u w:val="none"/>
          <w:lang w:val="en-US" w:eastAsia="zh-CN"/>
        </w:rPr>
        <w:t>相对</w:t>
      </w:r>
      <w:r>
        <w:rPr>
          <w:rFonts w:hint="eastAsia" w:ascii="仿宋_GB2312" w:eastAsia="仿宋_GB2312"/>
          <w:color w:val="auto"/>
          <w:sz w:val="32"/>
          <w:szCs w:val="32"/>
          <w:u w:val="none"/>
        </w:rPr>
        <w:t>独立的组织建制和运行体制，采取“定期评估、动态调整”的管理机制。</w:t>
      </w:r>
    </w:p>
    <w:p w14:paraId="7E487A41">
      <w:pPr>
        <w:jc w:val="center"/>
        <w:rPr>
          <w:rStyle w:val="12"/>
          <w:rFonts w:hint="eastAsia" w:ascii="黑体" w:hAnsi="黑体" w:eastAsia="黑体" w:cs="黑体"/>
          <w:b w:val="0"/>
          <w:bCs w:val="0"/>
          <w:color w:val="auto"/>
          <w:sz w:val="32"/>
          <w:szCs w:val="32"/>
          <w:u w:val="none"/>
        </w:rPr>
      </w:pPr>
    </w:p>
    <w:p w14:paraId="5BA377DA">
      <w:pPr>
        <w:jc w:val="center"/>
        <w:rPr>
          <w:rFonts w:hint="eastAsia" w:ascii="黑体" w:hAnsi="黑体" w:eastAsia="黑体" w:cs="黑体"/>
          <w:b w:val="0"/>
          <w:bCs w:val="0"/>
          <w:color w:val="auto"/>
          <w:sz w:val="32"/>
          <w:szCs w:val="32"/>
          <w:u w:val="none"/>
          <w:lang w:eastAsia="zh-CN"/>
        </w:rPr>
      </w:pPr>
      <w:r>
        <w:rPr>
          <w:rStyle w:val="12"/>
          <w:rFonts w:hint="eastAsia" w:ascii="黑体" w:hAnsi="黑体" w:eastAsia="黑体" w:cs="黑体"/>
          <w:b w:val="0"/>
          <w:bCs w:val="0"/>
          <w:color w:val="auto"/>
          <w:sz w:val="32"/>
          <w:szCs w:val="32"/>
          <w:u w:val="none"/>
        </w:rPr>
        <w:t>第二章 管理职责</w:t>
      </w:r>
    </w:p>
    <w:p w14:paraId="41E36C03">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五</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国家中医药管理局是重点实验室的宏观管理部门，主要职责是：</w:t>
      </w:r>
    </w:p>
    <w:p w14:paraId="693E852A">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（一）编制重点实验室建设规划方案，制定并发布重点实验室管理制度；</w:t>
      </w:r>
    </w:p>
    <w:p w14:paraId="7FBA7CA5">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（二）核准重点实验室的设立、撤销和重大事项调整，组织重点实验室验收</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督导与</w:t>
      </w:r>
      <w:r>
        <w:rPr>
          <w:rFonts w:hint="eastAsia" w:ascii="仿宋_GB2312" w:eastAsia="仿宋_GB2312"/>
          <w:color w:val="auto"/>
          <w:sz w:val="32"/>
          <w:szCs w:val="32"/>
          <w:u w:val="none"/>
        </w:rPr>
        <w:t>评估工作；</w:t>
      </w:r>
    </w:p>
    <w:p w14:paraId="6FB1E9BE">
      <w:pPr>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（三）设立重点实验室建设管理办公室（以下简称</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管理办公室</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管理办公室</w:t>
      </w:r>
      <w:r>
        <w:rPr>
          <w:rFonts w:hint="eastAsia" w:ascii="仿宋_GB2312" w:eastAsia="仿宋_GB2312"/>
          <w:color w:val="auto"/>
          <w:sz w:val="32"/>
          <w:szCs w:val="32"/>
          <w:u w:val="none"/>
        </w:rPr>
        <w:t>负责重点实验室的日常管理工作，包括申请材料受理及审查、评审答辩、现场核查以及开展</w:t>
      </w:r>
      <w:r>
        <w:rPr>
          <w:rFonts w:hint="eastAsia" w:ascii="仿宋_GB2312" w:eastAsia="仿宋_GB2312"/>
          <w:color w:val="auto"/>
          <w:sz w:val="32"/>
          <w:szCs w:val="32"/>
          <w:u w:val="none"/>
          <w:lang w:val="en-US" w:eastAsia="zh-CN"/>
        </w:rPr>
        <w:t>督导</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验收、</w:t>
      </w:r>
      <w:r>
        <w:rPr>
          <w:rFonts w:hint="eastAsia" w:ascii="仿宋_GB2312" w:eastAsia="仿宋_GB2312"/>
          <w:color w:val="auto"/>
          <w:sz w:val="32"/>
          <w:szCs w:val="32"/>
          <w:u w:val="none"/>
        </w:rPr>
        <w:t>评估等工作</w:t>
      </w:r>
      <w:r>
        <w:rPr>
          <w:rFonts w:hint="eastAsia" w:ascii="仿宋_GB2312" w:eastAsia="仿宋_GB2312"/>
          <w:color w:val="auto"/>
          <w:sz w:val="32"/>
          <w:szCs w:val="32"/>
          <w:u w:val="none"/>
          <w:lang w:eastAsia="zh-CN"/>
        </w:rPr>
        <w:t>；</w:t>
      </w:r>
    </w:p>
    <w:p w14:paraId="3C6BDA31">
      <w:pPr>
        <w:ind w:firstLine="640" w:firstLineChars="200"/>
        <w:rPr>
          <w:rFonts w:hint="eastAsia" w:eastAsia="仿宋_GB2312"/>
          <w:u w:val="none"/>
          <w:lang w:eastAsia="zh-CN"/>
        </w:rPr>
      </w:pP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四</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设立重点实验室建设项目专家委员会。专家委员会在重点实验室的遴选、建设、</w:t>
      </w:r>
      <w:r>
        <w:rPr>
          <w:rFonts w:hint="eastAsia" w:ascii="仿宋_GB2312" w:eastAsia="仿宋_GB2312"/>
          <w:color w:val="auto"/>
          <w:sz w:val="32"/>
          <w:szCs w:val="32"/>
          <w:u w:val="none"/>
          <w:lang w:val="en-US" w:eastAsia="zh-CN"/>
        </w:rPr>
        <w:t>验收、督导、</w:t>
      </w:r>
      <w:r>
        <w:rPr>
          <w:rFonts w:hint="eastAsia" w:ascii="仿宋_GB2312" w:eastAsia="仿宋_GB2312"/>
          <w:color w:val="auto"/>
          <w:sz w:val="32"/>
          <w:szCs w:val="32"/>
          <w:u w:val="none"/>
        </w:rPr>
        <w:t>评估过程中发挥咨询、建议和指导作用；</w:t>
      </w:r>
    </w:p>
    <w:p w14:paraId="39A47B1B">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五</w:t>
      </w:r>
      <w:r>
        <w:rPr>
          <w:rFonts w:hint="eastAsia" w:ascii="仿宋_GB2312" w:eastAsia="仿宋_GB2312"/>
          <w:color w:val="auto"/>
          <w:sz w:val="32"/>
          <w:szCs w:val="32"/>
          <w:u w:val="none"/>
        </w:rPr>
        <w:t>）对重点实验室主任和学术委员会主任实行备案管理。</w:t>
      </w:r>
    </w:p>
    <w:p w14:paraId="7BA90F80">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六</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部门是重点实验室的</w:t>
      </w:r>
      <w:r>
        <w:rPr>
          <w:rFonts w:hint="eastAsia" w:ascii="仿宋_GB2312" w:eastAsia="仿宋_GB2312"/>
          <w:color w:val="auto"/>
          <w:sz w:val="32"/>
          <w:szCs w:val="32"/>
          <w:highlight w:val="none"/>
          <w:u w:val="none"/>
          <w:lang w:val="en-US" w:eastAsia="zh-CN"/>
        </w:rPr>
        <w:t>管理与监督</w:t>
      </w:r>
      <w:r>
        <w:rPr>
          <w:rFonts w:hint="eastAsia" w:ascii="仿宋_GB2312" w:eastAsia="仿宋_GB2312"/>
          <w:color w:val="auto"/>
          <w:sz w:val="32"/>
          <w:szCs w:val="32"/>
          <w:u w:val="none"/>
        </w:rPr>
        <w:t>主体，主要职责是：</w:t>
      </w:r>
    </w:p>
    <w:p w14:paraId="2169C86C">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（一）落实国家中医药科技创新有关政策措施，营造良好的政策环境，将重点实验室纳入行业和地方发展规划，提供必要的支撑和发展条件，并争取地方财政支持；</w:t>
      </w:r>
    </w:p>
    <w:p w14:paraId="7FCC038E">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（二）按照重点实验室项目建设总体部署，受理</w:t>
      </w:r>
      <w:r>
        <w:rPr>
          <w:rFonts w:hint="eastAsia" w:ascii="仿宋_GB2312" w:eastAsia="仿宋_GB2312"/>
          <w:color w:val="auto"/>
          <w:sz w:val="32"/>
          <w:szCs w:val="32"/>
          <w:u w:val="none"/>
          <w:lang w:val="en-US" w:eastAsia="zh-CN"/>
        </w:rPr>
        <w:t>本地区重点实验室立项</w:t>
      </w:r>
      <w:r>
        <w:rPr>
          <w:rFonts w:hint="eastAsia" w:ascii="仿宋_GB2312" w:eastAsia="仿宋_GB2312"/>
          <w:color w:val="auto"/>
          <w:sz w:val="32"/>
          <w:szCs w:val="32"/>
          <w:u w:val="none"/>
        </w:rPr>
        <w:t>申请、进行审核遴选，并向国家中医药管理局择优推荐；</w:t>
      </w:r>
    </w:p>
    <w:p w14:paraId="59F79DB4">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（三）负责本地区重点实验室年度考核工作，并将结果报送国家中医药管理局备案；</w:t>
      </w:r>
    </w:p>
    <w:p w14:paraId="4A6D0A5A">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（四）协同做好重点实验室的</w:t>
      </w:r>
      <w:r>
        <w:rPr>
          <w:rFonts w:hint="eastAsia" w:ascii="仿宋_GB2312" w:eastAsia="仿宋_GB2312"/>
          <w:color w:val="auto"/>
          <w:sz w:val="32"/>
          <w:szCs w:val="32"/>
          <w:u w:val="none"/>
          <w:lang w:val="en-US" w:eastAsia="zh-CN"/>
        </w:rPr>
        <w:t>验收、督导和</w:t>
      </w:r>
      <w:r>
        <w:rPr>
          <w:rFonts w:hint="eastAsia" w:ascii="仿宋_GB2312" w:eastAsia="仿宋_GB2312"/>
          <w:color w:val="auto"/>
          <w:sz w:val="32"/>
          <w:szCs w:val="32"/>
          <w:u w:val="none"/>
        </w:rPr>
        <w:t>评估工作</w:t>
      </w:r>
      <w:r>
        <w:rPr>
          <w:rFonts w:hint="eastAsia" w:ascii="仿宋_GB2312" w:eastAsia="仿宋_GB2312"/>
          <w:color w:val="auto"/>
          <w:sz w:val="32"/>
          <w:szCs w:val="32"/>
          <w:u w:val="none"/>
          <w:lang w:eastAsia="zh-CN"/>
        </w:rPr>
        <w:t>；</w:t>
      </w:r>
    </w:p>
    <w:p w14:paraId="653BFB34">
      <w:pPr>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（五）核准重点实验室主任及学术委员会</w:t>
      </w:r>
      <w:r>
        <w:rPr>
          <w:rFonts w:hint="eastAsia" w:ascii="仿宋_GB2312" w:eastAsia="仿宋_GB2312"/>
          <w:color w:val="auto"/>
          <w:sz w:val="32"/>
          <w:szCs w:val="32"/>
          <w:u w:val="none"/>
          <w:lang w:val="en-US" w:eastAsia="zh-CN"/>
        </w:rPr>
        <w:t>组成</w:t>
      </w:r>
      <w:r>
        <w:rPr>
          <w:rFonts w:hint="eastAsia" w:ascii="仿宋_GB2312" w:eastAsia="仿宋_GB2312"/>
          <w:color w:val="auto"/>
          <w:sz w:val="32"/>
          <w:szCs w:val="32"/>
          <w:u w:val="none"/>
        </w:rPr>
        <w:t>，并向国家中医药管理局备案；</w:t>
      </w:r>
    </w:p>
    <w:p w14:paraId="6D2EF3B5">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（六）</w:t>
      </w:r>
      <w:r>
        <w:rPr>
          <w:rFonts w:hint="eastAsia" w:ascii="仿宋_GB2312" w:eastAsia="仿宋_GB2312"/>
          <w:color w:val="auto"/>
          <w:sz w:val="32"/>
          <w:szCs w:val="32"/>
          <w:u w:val="none"/>
          <w:lang w:val="en-US" w:eastAsia="zh-CN"/>
        </w:rPr>
        <w:t>协助</w:t>
      </w:r>
      <w:r>
        <w:rPr>
          <w:rFonts w:hint="eastAsia" w:ascii="仿宋_GB2312" w:eastAsia="仿宋_GB2312"/>
          <w:color w:val="auto"/>
          <w:sz w:val="32"/>
          <w:szCs w:val="32"/>
          <w:u w:val="none"/>
        </w:rPr>
        <w:t>推进本</w:t>
      </w:r>
      <w:r>
        <w:rPr>
          <w:rFonts w:hint="eastAsia" w:ascii="仿宋_GB2312" w:eastAsia="仿宋_GB2312"/>
          <w:color w:val="auto"/>
          <w:sz w:val="32"/>
          <w:szCs w:val="32"/>
          <w:u w:val="none"/>
          <w:lang w:val="en-US" w:eastAsia="zh-CN"/>
        </w:rPr>
        <w:t>地区</w:t>
      </w:r>
      <w:r>
        <w:rPr>
          <w:rFonts w:hint="eastAsia" w:ascii="仿宋_GB2312" w:eastAsia="仿宋_GB2312"/>
          <w:color w:val="auto"/>
          <w:sz w:val="32"/>
          <w:szCs w:val="32"/>
          <w:u w:val="none"/>
        </w:rPr>
        <w:t>重点实验室科技成果转移转化。</w:t>
      </w:r>
    </w:p>
    <w:p w14:paraId="31D22C72">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七</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依托单位是重点实验室建设和运行管理的责任主体，主要职责是：</w:t>
      </w:r>
    </w:p>
    <w:p w14:paraId="78079A89">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（一）将重点实验室列入本单位发展规划，并予以重点支持，提供充分的人、财、物、场地等相关保障和条件；</w:t>
      </w:r>
    </w:p>
    <w:p w14:paraId="02DE320C">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（二）</w:t>
      </w:r>
      <w:r>
        <w:rPr>
          <w:rFonts w:hint="eastAsia" w:ascii="仿宋_GB2312" w:eastAsia="仿宋_GB2312"/>
          <w:color w:val="auto"/>
          <w:sz w:val="32"/>
          <w:szCs w:val="32"/>
          <w:u w:val="none"/>
          <w:lang w:val="en-US" w:eastAsia="zh-CN"/>
        </w:rPr>
        <w:t>审定</w:t>
      </w:r>
      <w:r>
        <w:rPr>
          <w:rFonts w:hint="eastAsia" w:ascii="仿宋_GB2312" w:eastAsia="仿宋_GB2312"/>
          <w:color w:val="auto"/>
          <w:sz w:val="32"/>
          <w:szCs w:val="32"/>
          <w:u w:val="none"/>
        </w:rPr>
        <w:t>本单位重点实验室科学研究发展规划</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重点任务和具体目标；</w:t>
      </w:r>
    </w:p>
    <w:p w14:paraId="057B66C3">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（三）负责重点实验室建设和日常管理，建立重点实验室发展保障机制；</w:t>
      </w:r>
    </w:p>
    <w:p w14:paraId="3B0D2A39">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（四）推荐、报备、任免重点实验室主任及学术委员会主任，组建学术委员会；</w:t>
      </w:r>
    </w:p>
    <w:p w14:paraId="3D8BBDB1">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（五）负责重点实验室规范运行和管理，配合完成年度考核</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验收</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督导</w:t>
      </w:r>
      <w:r>
        <w:rPr>
          <w:rFonts w:hint="eastAsia" w:ascii="仿宋_GB2312" w:eastAsia="仿宋_GB2312"/>
          <w:color w:val="auto"/>
          <w:sz w:val="32"/>
          <w:szCs w:val="32"/>
          <w:u w:val="none"/>
        </w:rPr>
        <w:t>与评估检查等工作。</w:t>
      </w:r>
    </w:p>
    <w:p w14:paraId="11204DFF">
      <w:pPr>
        <w:ind w:firstLine="640" w:firstLineChars="200"/>
        <w:rPr>
          <w:rFonts w:ascii="仿宋_GB2312" w:eastAsia="仿宋_GB2312"/>
          <w:color w:val="auto"/>
          <w:sz w:val="32"/>
          <w:szCs w:val="32"/>
          <w:highlight w:val="yellow"/>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八</w:t>
      </w:r>
      <w:r>
        <w:rPr>
          <w:rFonts w:hint="eastAsia" w:ascii="黑体" w:hAnsi="黑体" w:eastAsia="黑体" w:cs="黑体"/>
          <w:color w:val="auto"/>
          <w:sz w:val="32"/>
          <w:szCs w:val="32"/>
          <w:highlight w:val="none"/>
          <w:u w:val="none"/>
        </w:rPr>
        <w:t>条</w:t>
      </w:r>
      <w:r>
        <w:rPr>
          <w:rFonts w:hint="eastAsia"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重点实验室应当围绕研究方向与建设目标开展研究及相关工作，并严格遵守国家有关医学伦理、学术道德、科研诚信、知识产权、生物安全、保密等相关法律法规，依法依规开展数据和资源开放共享，积极承担国家任务，主动开展行业急需的基础性工作，提升中医药传承创新能力。</w:t>
      </w:r>
    </w:p>
    <w:p w14:paraId="6B064575">
      <w:pPr>
        <w:ind w:firstLine="640" w:firstLineChars="200"/>
        <w:rPr>
          <w:rFonts w:hint="eastAsia" w:ascii="仿宋_GB2312" w:eastAsia="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九</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 xml:space="preserve"> 重点实验室主任的主要职责包括：组织制定并实施该重点实验室建设和发展规划，围绕需求制定重点实验室研究方向和研究重点，牵头开展项目研究，负责重点实验室的日常管理，规范重点实验室的运行和经费</w:t>
      </w:r>
      <w:r>
        <w:rPr>
          <w:rFonts w:hint="eastAsia" w:ascii="仿宋_GB2312" w:eastAsia="仿宋_GB2312"/>
          <w:color w:val="auto"/>
          <w:sz w:val="32"/>
          <w:szCs w:val="32"/>
          <w:u w:val="none"/>
          <w:lang w:val="en-US" w:eastAsia="zh-CN"/>
        </w:rPr>
        <w:t>使用</w:t>
      </w:r>
      <w:r>
        <w:rPr>
          <w:rFonts w:hint="eastAsia" w:ascii="仿宋_GB2312" w:eastAsia="仿宋_GB2312"/>
          <w:color w:val="auto"/>
          <w:sz w:val="32"/>
          <w:szCs w:val="32"/>
          <w:u w:val="none"/>
        </w:rPr>
        <w:t>，开展重点实验室学术交流。</w:t>
      </w:r>
      <w:r>
        <w:rPr>
          <w:rFonts w:hint="eastAsia" w:ascii="仿宋_GB2312" w:eastAsia="仿宋_GB2312"/>
          <w:color w:val="auto"/>
          <w:sz w:val="32"/>
          <w:szCs w:val="32"/>
          <w:u w:val="none"/>
          <w:lang w:val="en-US" w:eastAsia="zh-CN"/>
        </w:rPr>
        <w:t>制定并监督执行实验室学术诚信相关规定，</w:t>
      </w:r>
      <w:r>
        <w:rPr>
          <w:rFonts w:hint="eastAsia" w:ascii="仿宋_GB2312" w:eastAsia="仿宋_GB2312"/>
          <w:color w:val="auto"/>
          <w:sz w:val="32"/>
          <w:szCs w:val="32"/>
          <w:u w:val="none"/>
        </w:rPr>
        <w:t>确保科研活动遵循学术诚信的原则，‌防止学术不端行为的发生</w:t>
      </w:r>
      <w:r>
        <w:rPr>
          <w:rFonts w:hint="eastAsia" w:ascii="仿宋_GB2312" w:eastAsia="仿宋_GB2312"/>
          <w:color w:val="auto"/>
          <w:sz w:val="32"/>
          <w:szCs w:val="32"/>
          <w:u w:val="none"/>
          <w:lang w:eastAsia="zh-CN"/>
        </w:rPr>
        <w:t>。</w:t>
      </w:r>
    </w:p>
    <w:p w14:paraId="24909B67">
      <w:pPr>
        <w:ind w:firstLine="640" w:firstLineChars="200"/>
        <w:rPr>
          <w:rFonts w:hint="eastAsia" w:ascii="仿宋_GB2312" w:eastAsia="仿宋_GB2312"/>
          <w:color w:val="auto"/>
          <w:sz w:val="32"/>
          <w:szCs w:val="32"/>
          <w:u w:val="none"/>
        </w:rPr>
      </w:pPr>
    </w:p>
    <w:p w14:paraId="2635BB1F">
      <w:pPr>
        <w:pStyle w:val="8"/>
        <w:spacing w:before="0" w:beforeAutospacing="0" w:after="0" w:afterAutospacing="0"/>
        <w:jc w:val="center"/>
        <w:rPr>
          <w:rFonts w:hint="default" w:ascii="仿宋_GB2312" w:eastAsia="黑体"/>
          <w:color w:val="auto"/>
          <w:sz w:val="32"/>
          <w:szCs w:val="32"/>
          <w:u w:val="none"/>
          <w:lang w:val="en-US" w:eastAsia="zh-CN"/>
        </w:rPr>
      </w:pPr>
      <w:r>
        <w:rPr>
          <w:rStyle w:val="12"/>
          <w:rFonts w:hint="eastAsia" w:ascii="黑体" w:hAnsi="黑体" w:eastAsia="黑体" w:cs="黑体"/>
          <w:b w:val="0"/>
          <w:bCs w:val="0"/>
          <w:color w:val="auto"/>
          <w:sz w:val="32"/>
          <w:szCs w:val="32"/>
          <w:u w:val="none"/>
        </w:rPr>
        <w:t>第三章 设立</w:t>
      </w:r>
      <w:r>
        <w:rPr>
          <w:rStyle w:val="12"/>
          <w:rFonts w:hint="eastAsia" w:ascii="黑体" w:hAnsi="黑体" w:eastAsia="黑体" w:cs="黑体"/>
          <w:b w:val="0"/>
          <w:bCs w:val="0"/>
          <w:color w:val="auto"/>
          <w:sz w:val="32"/>
          <w:szCs w:val="32"/>
          <w:u w:val="none"/>
          <w:lang w:val="en-US" w:eastAsia="zh-CN"/>
        </w:rPr>
        <w:t>与建设</w:t>
      </w:r>
    </w:p>
    <w:p w14:paraId="3FC08119">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w:t>
      </w:r>
      <w:r>
        <w:rPr>
          <w:rFonts w:hint="eastAsia" w:ascii="仿宋_GB2312" w:eastAsia="仿宋_GB2312"/>
          <w:color w:val="auto"/>
          <w:sz w:val="32"/>
          <w:szCs w:val="32"/>
          <w:u w:val="none"/>
          <w:lang w:val="en-US" w:eastAsia="zh-CN"/>
        </w:rPr>
        <w:t>立项</w:t>
      </w:r>
      <w:r>
        <w:rPr>
          <w:rFonts w:hint="eastAsia" w:ascii="仿宋_GB2312" w:eastAsia="仿宋_GB2312"/>
          <w:color w:val="auto"/>
          <w:sz w:val="32"/>
          <w:szCs w:val="32"/>
          <w:u w:val="none"/>
        </w:rPr>
        <w:t>采取评审方式确定。国家中医药管理局依据规划布局，结合行业需求和学科发展等需要发布申请通知，按照公开征集、省局推荐等方式组织开展</w:t>
      </w:r>
      <w:r>
        <w:rPr>
          <w:rFonts w:hint="eastAsia" w:ascii="仿宋_GB2312" w:eastAsia="仿宋_GB2312"/>
          <w:color w:val="auto"/>
          <w:sz w:val="32"/>
          <w:szCs w:val="32"/>
          <w:u w:val="none"/>
          <w:lang w:val="en-US" w:eastAsia="zh-CN"/>
        </w:rPr>
        <w:t>重点</w:t>
      </w:r>
      <w:r>
        <w:rPr>
          <w:rFonts w:hint="eastAsia" w:ascii="仿宋_GB2312" w:eastAsia="仿宋_GB2312"/>
          <w:color w:val="auto"/>
          <w:sz w:val="32"/>
          <w:szCs w:val="32"/>
          <w:u w:val="none"/>
        </w:rPr>
        <w:t>实验室的立项工作，依托单位根据通知要求组织申报工作，国家中医药管理局集中组织评审，评审工作依照“自愿申请、择优评审”的原则进行。</w:t>
      </w:r>
    </w:p>
    <w:p w14:paraId="0AAC549A">
      <w:pPr>
        <w:ind w:firstLine="640" w:firstLineChars="200"/>
        <w:rPr>
          <w:rFonts w:hint="eastAsia" w:ascii="仿宋_GB2312" w:eastAsia="仿宋_GB2312"/>
          <w:color w:val="auto"/>
          <w:sz w:val="32"/>
          <w:szCs w:val="32"/>
          <w:u w:val="none"/>
          <w:lang w:val="en-US" w:eastAsia="zh-CN"/>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一</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重点实验室提出立项申请，应具备下列基本条件：</w:t>
      </w:r>
    </w:p>
    <w:p w14:paraId="3861A265">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（一）依托单位为在中国大陆境内合法注册2年以上的独立法人企事业单位；</w:t>
      </w:r>
    </w:p>
    <w:p w14:paraId="02E2F4BF">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（二）具有稳定的中医药研究方向，研究水平和实力在本领域处于领先地位，优先在原有国家中医药管理局重点研究室、三级实验室和省级重点实验室建设基础上进行拓展、提升、完善；</w:t>
      </w:r>
    </w:p>
    <w:p w14:paraId="52A2E369">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三）在申请重点实验室时，可采取独立申请或者联合申请的方式申请。鼓励与综合性大学、科研院所、医药企业联合申请。联合申请的各单位应在过去5年内与依托单位有合作研究的基础，并有科研成果产出。联合申请时，单位数量原则上不超过3个，且应确定一个单位作为依托单位，其余单位为参与单位。重点实验室立项后，由依托单位负责牵头开展研究、加强运行管理以及接受考核与评估；</w:t>
      </w:r>
    </w:p>
    <w:p w14:paraId="4D6C684C">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（四）有明确的建设发展规划，研究方向符合中医药发展需要，建设方案切实可行，能够承担和完成行业重大科研任务；</w:t>
      </w:r>
    </w:p>
    <w:p w14:paraId="092C20E1">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（五）具有一支相对稳定、结构合理、学术水平高、创新能力强的研究队伍。实验室主任应政治素质过硬，为本领域高水平的学科或学术带头人，为依托单位全职工作人员</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u w:val="none"/>
          <w:lang w:val="en-US" w:eastAsia="zh-CN"/>
        </w:rPr>
        <w:t>具有较强的组织管理和协调能力；首次聘任时原则上不超过60岁（院士、国医大师、全国名中医、长江学者、岐黄学者等高层次人才不超过65岁）；团队人员总数一般不少于30人，固定人员不少于20人；</w:t>
      </w:r>
    </w:p>
    <w:p w14:paraId="6A3D1BE9">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u w:val="none"/>
          <w:lang w:val="en-US" w:eastAsia="zh-CN"/>
        </w:rPr>
        <w:t>（六）具备适当研究场所和研究条件。重点实验室面积原则上不低于1000平方米并相对集中；运行</w:t>
      </w:r>
      <w:r>
        <w:rPr>
          <w:rFonts w:hint="eastAsia" w:ascii="仿宋_GB2312" w:eastAsia="仿宋_GB2312"/>
          <w:color w:val="auto"/>
          <w:sz w:val="32"/>
          <w:szCs w:val="32"/>
          <w:highlight w:val="none"/>
          <w:u w:val="none"/>
          <w:lang w:val="en-US" w:eastAsia="zh-CN"/>
        </w:rPr>
        <w:t>仪器设备总值不低于1500万元；</w:t>
      </w:r>
    </w:p>
    <w:p w14:paraId="694A3D7F">
      <w:pPr>
        <w:ind w:firstLine="640" w:firstLineChars="200"/>
        <w:rPr>
          <w:rFonts w:hint="eastAsia" w:ascii="仿宋_GB2312" w:eastAsia="仿宋_GB2312"/>
          <w:strike/>
          <w:color w:val="auto"/>
          <w:sz w:val="32"/>
          <w:szCs w:val="32"/>
          <w:u w:val="none"/>
          <w:lang w:val="en-US" w:eastAsia="zh-CN"/>
        </w:rPr>
      </w:pPr>
      <w:r>
        <w:rPr>
          <w:rFonts w:hint="eastAsia" w:ascii="仿宋_GB2312" w:eastAsia="仿宋_GB2312"/>
          <w:color w:val="auto"/>
          <w:sz w:val="32"/>
          <w:szCs w:val="32"/>
          <w:u w:val="none"/>
          <w:lang w:val="en-US" w:eastAsia="zh-CN"/>
        </w:rPr>
        <w:t>（七）具备较好的组织和制度保障。依托单位能为重点实验室提供建设经费和条件保障等配套措施，建立有利于重点实验室运行的管理机制，能保证重点实验室建设和建成后的运行。</w:t>
      </w:r>
    </w:p>
    <w:p w14:paraId="6284164E">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（八）对科研成果具有良好的转移转化和推广应用的能力和经验。</w:t>
      </w:r>
    </w:p>
    <w:p w14:paraId="7AC6370F">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eastAsia="zh-CN"/>
        </w:rPr>
        <w:t>依托单位</w:t>
      </w:r>
      <w:r>
        <w:rPr>
          <w:rFonts w:hint="eastAsia" w:ascii="仿宋_GB2312" w:eastAsia="仿宋_GB2312"/>
          <w:color w:val="auto"/>
          <w:sz w:val="32"/>
          <w:szCs w:val="32"/>
          <w:u w:val="none"/>
        </w:rPr>
        <w:t>向所在省、自治区、直辖市的省级中医药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部门提出申请</w:t>
      </w:r>
      <w:r>
        <w:rPr>
          <w:rFonts w:hint="eastAsia" w:ascii="仿宋_GB2312" w:eastAsia="仿宋_GB2312"/>
          <w:color w:val="auto"/>
          <w:sz w:val="32"/>
          <w:szCs w:val="32"/>
          <w:u w:val="none"/>
          <w:lang w:val="en-US" w:eastAsia="zh-CN"/>
        </w:rPr>
        <w:t>后</w:t>
      </w:r>
      <w:r>
        <w:rPr>
          <w:rFonts w:hint="eastAsia" w:ascii="仿宋_GB2312" w:eastAsia="仿宋_GB2312"/>
          <w:color w:val="auto"/>
          <w:sz w:val="32"/>
          <w:szCs w:val="32"/>
          <w:u w:val="none"/>
        </w:rPr>
        <w:t>，提交申请函和《国家中医药管理局重点实验室申请书》（以下简称《申请书》）。省级中医药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部门对申请材料的真实性和完整性以及是否符合依托单位基本条件和相关人员要求进行初步审查，并择优进行推荐至管理办公室。</w:t>
      </w:r>
    </w:p>
    <w:p w14:paraId="5BC8074D">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lang w:eastAsia="zh-CN"/>
        </w:rPr>
        <w:t>依托单位</w:t>
      </w:r>
      <w:r>
        <w:rPr>
          <w:rFonts w:hint="eastAsia" w:ascii="仿宋_GB2312" w:eastAsia="仿宋_GB2312"/>
          <w:color w:val="auto"/>
          <w:sz w:val="32"/>
          <w:szCs w:val="32"/>
          <w:u w:val="none"/>
        </w:rPr>
        <w:t>为中央各部委直属单位的，直接向管理办公室提交申请函和《申请书》，由管理办公室负责初步审查。</w:t>
      </w:r>
    </w:p>
    <w:p w14:paraId="20372378">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四</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国家中医药管理局组织管理办公室进行评审与现场考察，根据评审意见，择优立项，向省级中医药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 xml:space="preserve">部门批复立项结果，并抄送依托单位。 </w:t>
      </w:r>
    </w:p>
    <w:p w14:paraId="45FAB7B0">
      <w:pPr>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根据立项批复，依托单位组织编制《国家中医药管理局重点实验室建设计划任务书》（以下简称《任务书》），并组织专家组进行可行性论证。论证后的《任务书》和可行性论证报告经省级中医药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部门审核后报国家中医药管理局核准。获核准的《任务书》是重点实验室建设与验收的重要依据。</w:t>
      </w:r>
    </w:p>
    <w:p w14:paraId="3C7E28DF">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五</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重点实验室立项后即进入建设期，建设期原则上不超过3年。</w:t>
      </w:r>
    </w:p>
    <w:p w14:paraId="2B624668">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val="en-US" w:eastAsia="zh-CN"/>
        </w:rPr>
        <w:t>六</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在建设期内，实行重点实验室依托单位日常管理、省级中医药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部门年度考核和国家中医药管理局</w:t>
      </w:r>
      <w:r>
        <w:rPr>
          <w:rFonts w:hint="eastAsia" w:ascii="仿宋_GB2312" w:eastAsia="仿宋_GB2312"/>
          <w:color w:val="auto"/>
          <w:sz w:val="32"/>
          <w:szCs w:val="32"/>
          <w:u w:val="none"/>
          <w:lang w:val="en-US" w:eastAsia="zh-CN"/>
        </w:rPr>
        <w:t>不定期督导</w:t>
      </w:r>
      <w:r>
        <w:rPr>
          <w:rFonts w:hint="eastAsia" w:ascii="仿宋_GB2312" w:eastAsia="仿宋_GB2312"/>
          <w:color w:val="auto"/>
          <w:sz w:val="32"/>
          <w:szCs w:val="32"/>
          <w:u w:val="none"/>
        </w:rPr>
        <w:t>相结合的动态管理模式。</w:t>
      </w:r>
    </w:p>
    <w:p w14:paraId="7681C9B6">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十七</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重点实验室建设</w:t>
      </w:r>
      <w:r>
        <w:rPr>
          <w:rFonts w:hint="eastAsia" w:ascii="仿宋_GB2312" w:eastAsia="仿宋_GB2312"/>
          <w:color w:val="auto"/>
          <w:sz w:val="32"/>
          <w:szCs w:val="32"/>
          <w:u w:val="none"/>
          <w:lang w:val="en-US" w:eastAsia="zh-CN"/>
        </w:rPr>
        <w:t>期结束</w:t>
      </w:r>
      <w:r>
        <w:rPr>
          <w:rFonts w:hint="eastAsia" w:ascii="仿宋_GB2312" w:eastAsia="仿宋_GB2312"/>
          <w:color w:val="auto"/>
          <w:sz w:val="32"/>
          <w:szCs w:val="32"/>
          <w:u w:val="none"/>
        </w:rPr>
        <w:t>后，</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向国家中医药管理局申请验收。验收申请</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在建设期满前</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个月向国家中医药管理局报送《国家中医药管理局重点实验室建设验收申请书》。未能如期完成建设的，</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在预定建设期满前6个月提出延长建设期的申请。延长期限最长为1年，期满后未通过验收评审的，取消其建设资格。</w:t>
      </w:r>
    </w:p>
    <w:p w14:paraId="664179C9">
      <w:pPr>
        <w:ind w:firstLine="640" w:firstLineChars="200"/>
        <w:rPr>
          <w:rFonts w:hint="eastAsia"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十八</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重点实验室验收由重点实验室建设管理办公室</w:t>
      </w:r>
      <w:r>
        <w:rPr>
          <w:rFonts w:hint="eastAsia" w:ascii="仿宋_GB2312" w:eastAsia="仿宋_GB2312"/>
          <w:color w:val="auto"/>
          <w:sz w:val="32"/>
          <w:szCs w:val="32"/>
          <w:u w:val="none"/>
          <w:lang w:val="en-US" w:eastAsia="zh-CN"/>
        </w:rPr>
        <w:t>组织</w:t>
      </w:r>
      <w:r>
        <w:rPr>
          <w:rFonts w:hint="eastAsia" w:ascii="仿宋_GB2312" w:eastAsia="仿宋_GB2312"/>
          <w:color w:val="auto"/>
          <w:sz w:val="32"/>
          <w:szCs w:val="32"/>
          <w:highlight w:val="none"/>
          <w:u w:val="none"/>
        </w:rPr>
        <w:t>。</w:t>
      </w:r>
      <w:r>
        <w:rPr>
          <w:rFonts w:hint="eastAsia" w:ascii="仿宋_GB2312" w:eastAsia="仿宋_GB2312"/>
          <w:color w:val="auto"/>
          <w:sz w:val="32"/>
          <w:szCs w:val="32"/>
          <w:u w:val="none"/>
        </w:rPr>
        <w:t>验收专家组原则上由不少于7名（奇数）相关领域的学术专家和管理专家组成。验收专家组依据</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任务书</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及验收申请书，进行综合评议，并形成验收意见。验收结论分为通过验收、建议整改、未通过验收三种。建议整改的实验室</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在6个月内完成整改工作，并再次向</w:t>
      </w:r>
      <w:r>
        <w:rPr>
          <w:rFonts w:hint="eastAsia" w:ascii="仿宋_GB2312" w:eastAsia="仿宋_GB2312"/>
          <w:color w:val="auto"/>
          <w:sz w:val="32"/>
          <w:szCs w:val="32"/>
          <w:u w:val="none"/>
          <w:lang w:val="en-US" w:eastAsia="zh-CN"/>
        </w:rPr>
        <w:t>国家</w:t>
      </w:r>
      <w:r>
        <w:rPr>
          <w:rFonts w:hint="eastAsia" w:ascii="仿宋_GB2312" w:eastAsia="仿宋_GB2312"/>
          <w:color w:val="auto"/>
          <w:sz w:val="32"/>
          <w:szCs w:val="32"/>
          <w:u w:val="none"/>
        </w:rPr>
        <w:t>中医药管理局提出验收申请。未通过验收的实验室，取消其建设资格。</w:t>
      </w:r>
    </w:p>
    <w:p w14:paraId="22520FFF">
      <w:pPr>
        <w:widowControl/>
        <w:shd w:val="clear" w:color="auto" w:fill="FFFFFF"/>
        <w:spacing w:line="360" w:lineRule="atLeast"/>
        <w:ind w:firstLine="640" w:firstLineChars="200"/>
        <w:jc w:val="left"/>
        <w:rPr>
          <w:rFonts w:hint="eastAsia"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十九</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通过验收的重点实验室，</w:t>
      </w:r>
      <w:r>
        <w:rPr>
          <w:rFonts w:hint="eastAsia" w:ascii="仿宋_GB2312" w:eastAsia="仿宋_GB2312"/>
          <w:color w:val="auto"/>
          <w:sz w:val="32"/>
          <w:szCs w:val="32"/>
          <w:u w:val="none"/>
          <w:lang w:val="en-US" w:eastAsia="zh-CN"/>
        </w:rPr>
        <w:t>进入运行期。</w:t>
      </w:r>
      <w:r>
        <w:rPr>
          <w:rFonts w:hint="eastAsia" w:ascii="仿宋_GB2312" w:eastAsia="仿宋_GB2312"/>
          <w:color w:val="auto"/>
          <w:sz w:val="32"/>
          <w:szCs w:val="32"/>
          <w:u w:val="none"/>
        </w:rPr>
        <w:t>依托单位编制</w:t>
      </w:r>
      <w:r>
        <w:rPr>
          <w:rFonts w:hint="eastAsia" w:ascii="仿宋_GB2312" w:eastAsia="仿宋_GB2312"/>
          <w:color w:val="auto"/>
          <w:sz w:val="32"/>
          <w:szCs w:val="32"/>
          <w:u w:val="none"/>
          <w:lang w:val="en-US" w:eastAsia="zh-CN"/>
        </w:rPr>
        <w:t>《重点实验室运行建设方案》并组织专家论证后报国家中医药管理局审批，审批通过的《重点实验室运行建设方案》是考核和评估实验室运行情况的依据。</w:t>
      </w:r>
      <w:r>
        <w:rPr>
          <w:rFonts w:hint="eastAsia" w:ascii="仿宋_GB2312" w:eastAsia="仿宋_GB2312"/>
          <w:color w:val="auto"/>
          <w:sz w:val="32"/>
          <w:szCs w:val="32"/>
          <w:u w:val="none"/>
        </w:rPr>
        <w:t>国家中医药管理局将</w:t>
      </w:r>
      <w:r>
        <w:rPr>
          <w:rFonts w:hint="eastAsia" w:ascii="仿宋_GB2312" w:eastAsia="仿宋_GB2312"/>
          <w:color w:val="auto"/>
          <w:sz w:val="32"/>
          <w:szCs w:val="32"/>
          <w:u w:val="none"/>
          <w:lang w:val="en-US" w:eastAsia="zh-CN"/>
        </w:rPr>
        <w:t>定期</w:t>
      </w:r>
      <w:r>
        <w:rPr>
          <w:rFonts w:hint="eastAsia" w:ascii="仿宋_GB2312" w:eastAsia="仿宋_GB2312"/>
          <w:color w:val="auto"/>
          <w:sz w:val="32"/>
          <w:szCs w:val="32"/>
          <w:u w:val="none"/>
        </w:rPr>
        <w:t>对各重点实验室的运行情况向社会公布。</w:t>
      </w:r>
    </w:p>
    <w:p w14:paraId="5C7ADBD7">
      <w:pPr>
        <w:widowControl/>
        <w:shd w:val="clear" w:color="auto" w:fill="FFFFFF"/>
        <w:spacing w:line="360" w:lineRule="atLeast"/>
        <w:ind w:firstLine="640" w:firstLineChars="200"/>
        <w:jc w:val="left"/>
        <w:rPr>
          <w:rFonts w:hint="eastAsia" w:ascii="仿宋_GB2312" w:eastAsia="仿宋_GB2312"/>
          <w:color w:val="auto"/>
          <w:sz w:val="32"/>
          <w:szCs w:val="32"/>
          <w:u w:val="none"/>
        </w:rPr>
      </w:pPr>
    </w:p>
    <w:p w14:paraId="5E45B0FD">
      <w:pPr>
        <w:jc w:val="center"/>
        <w:rPr>
          <w:rFonts w:ascii="仿宋_GB2312" w:eastAsia="仿宋_GB2312"/>
          <w:color w:val="auto"/>
          <w:sz w:val="32"/>
          <w:szCs w:val="32"/>
          <w:u w:val="none"/>
        </w:rPr>
      </w:pPr>
      <w:r>
        <w:rPr>
          <w:rStyle w:val="12"/>
          <w:rFonts w:hint="eastAsia" w:ascii="黑体" w:hAnsi="黑体" w:eastAsia="黑体" w:cs="黑体"/>
          <w:b w:val="0"/>
          <w:bCs w:val="0"/>
          <w:color w:val="auto"/>
          <w:sz w:val="32"/>
          <w:szCs w:val="32"/>
          <w:u w:val="none"/>
        </w:rPr>
        <w:t>第四章 运行与管理</w:t>
      </w:r>
    </w:p>
    <w:p w14:paraId="79A52EDD">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二十</w:t>
      </w:r>
      <w:r>
        <w:rPr>
          <w:rFonts w:hint="eastAsia" w:ascii="黑体" w:hAnsi="黑体" w:eastAsia="黑体" w:cs="黑体"/>
          <w:color w:val="auto"/>
          <w:sz w:val="32"/>
          <w:szCs w:val="32"/>
          <w:u w:val="none"/>
        </w:rPr>
        <w:t>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省级中医药</w:t>
      </w:r>
      <w:r>
        <w:rPr>
          <w:rFonts w:hint="eastAsia" w:ascii="仿宋_GB2312" w:eastAsia="仿宋_GB2312"/>
          <w:color w:val="auto"/>
          <w:sz w:val="32"/>
          <w:szCs w:val="32"/>
          <w:u w:val="none"/>
          <w:lang w:val="en-US" w:eastAsia="zh-CN"/>
        </w:rPr>
        <w:t>主管</w:t>
      </w:r>
      <w:r>
        <w:rPr>
          <w:rFonts w:hint="eastAsia" w:ascii="仿宋_GB2312" w:eastAsia="仿宋_GB2312"/>
          <w:color w:val="auto"/>
          <w:sz w:val="32"/>
          <w:szCs w:val="32"/>
          <w:u w:val="none"/>
        </w:rPr>
        <w:t>部门、依托单位</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重视重点实验室的建设与发展，并指导依托单位成立由</w:t>
      </w:r>
      <w:r>
        <w:rPr>
          <w:rFonts w:hint="eastAsia" w:ascii="仿宋_GB2312" w:eastAsia="仿宋_GB2312"/>
          <w:color w:val="auto"/>
          <w:sz w:val="32"/>
          <w:szCs w:val="32"/>
          <w:highlight w:val="none"/>
          <w:u w:val="none"/>
        </w:rPr>
        <w:t>单位</w:t>
      </w:r>
      <w:r>
        <w:rPr>
          <w:rFonts w:hint="eastAsia" w:ascii="仿宋_GB2312" w:eastAsia="仿宋_GB2312"/>
          <w:color w:val="auto"/>
          <w:sz w:val="32"/>
          <w:szCs w:val="32"/>
          <w:u w:val="none"/>
        </w:rPr>
        <w:t xml:space="preserve">主要负责人牵头，科技、人事、财务、资产、后勤等多部门参加的实验室建设和运行管理委员会，负责落实条件保障、日常监督管理和年度考核工作，协调解决重点实验室发展中的重大问题。 </w:t>
      </w:r>
    </w:p>
    <w:p w14:paraId="53DC8D78">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二十一</w:t>
      </w:r>
      <w:r>
        <w:rPr>
          <w:rFonts w:hint="eastAsia" w:ascii="黑体" w:hAnsi="黑体" w:eastAsia="黑体" w:cs="黑体"/>
          <w:color w:val="auto"/>
          <w:sz w:val="32"/>
          <w:szCs w:val="32"/>
          <w:u w:val="none"/>
        </w:rPr>
        <w:t>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重点实验室实行依托单位领导下的</w:t>
      </w:r>
      <w:r>
        <w:rPr>
          <w:rFonts w:hint="eastAsia" w:ascii="仿宋_GB2312" w:eastAsia="仿宋_GB2312"/>
          <w:color w:val="auto"/>
          <w:sz w:val="32"/>
          <w:szCs w:val="32"/>
          <w:u w:val="none"/>
          <w:lang w:val="en-US" w:eastAsia="zh-CN"/>
        </w:rPr>
        <w:t>实验室</w:t>
      </w:r>
      <w:r>
        <w:rPr>
          <w:rFonts w:hint="eastAsia" w:ascii="仿宋_GB2312" w:eastAsia="仿宋_GB2312"/>
          <w:color w:val="auto"/>
          <w:sz w:val="32"/>
          <w:szCs w:val="32"/>
          <w:u w:val="none"/>
        </w:rPr>
        <w:t>主任负责制。实验室主任由依托单位聘任，鼓励依托单位面向国内外公开招聘，择优推荐聘任人选，经所属省级</w:t>
      </w:r>
      <w:r>
        <w:rPr>
          <w:rFonts w:hint="eastAsia" w:ascii="仿宋_GB2312" w:eastAsia="仿宋_GB2312"/>
          <w:color w:val="auto"/>
          <w:sz w:val="32"/>
          <w:szCs w:val="32"/>
          <w:highlight w:val="none"/>
          <w:u w:val="none"/>
        </w:rPr>
        <w:t>中医药</w:t>
      </w:r>
      <w:r>
        <w:rPr>
          <w:rFonts w:hint="eastAsia" w:ascii="仿宋_GB2312" w:eastAsia="仿宋_GB2312"/>
          <w:color w:val="auto"/>
          <w:sz w:val="32"/>
          <w:szCs w:val="32"/>
          <w:highlight w:val="none"/>
          <w:u w:val="none"/>
          <w:lang w:val="en-US" w:eastAsia="zh-CN"/>
        </w:rPr>
        <w:t>主管</w:t>
      </w:r>
      <w:r>
        <w:rPr>
          <w:rFonts w:hint="eastAsia" w:ascii="仿宋_GB2312" w:eastAsia="仿宋_GB2312"/>
          <w:color w:val="auto"/>
          <w:sz w:val="32"/>
          <w:szCs w:val="32"/>
          <w:u w:val="none"/>
        </w:rPr>
        <w:t>部门核准并报国家</w:t>
      </w:r>
      <w:r>
        <w:rPr>
          <w:rFonts w:hint="eastAsia" w:ascii="仿宋_GB2312" w:eastAsia="仿宋_GB2312"/>
          <w:color w:val="auto"/>
          <w:sz w:val="32"/>
          <w:szCs w:val="32"/>
          <w:highlight w:val="none"/>
          <w:u w:val="none"/>
        </w:rPr>
        <w:t>中医药管理局</w:t>
      </w:r>
      <w:r>
        <w:rPr>
          <w:rFonts w:hint="eastAsia" w:ascii="仿宋_GB2312" w:eastAsia="仿宋_GB2312"/>
          <w:color w:val="auto"/>
          <w:sz w:val="32"/>
          <w:szCs w:val="32"/>
          <w:u w:val="none"/>
        </w:rPr>
        <w:t xml:space="preserve">备案。 </w:t>
      </w:r>
    </w:p>
    <w:p w14:paraId="233F0D20">
      <w:pPr>
        <w:ind w:firstLine="570" w:firstLineChars="0"/>
        <w:rPr>
          <w:rFonts w:ascii="仿宋_GB2312" w:eastAsia="仿宋_GB2312"/>
          <w:color w:val="auto"/>
          <w:sz w:val="32"/>
          <w:szCs w:val="32"/>
          <w:u w:val="none"/>
        </w:rPr>
      </w:pPr>
      <w:r>
        <w:rPr>
          <w:rFonts w:hint="eastAsia" w:ascii="黑体" w:hAnsi="黑体" w:eastAsia="黑体" w:cs="黑体"/>
          <w:color w:val="auto"/>
          <w:sz w:val="32"/>
          <w:szCs w:val="32"/>
          <w:highlight w:val="none"/>
          <w:u w:val="none"/>
        </w:rPr>
        <w:t>第二十</w:t>
      </w: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条</w:t>
      </w:r>
      <w:r>
        <w:rPr>
          <w:rFonts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rPr>
        <w:t>学术委员会是重点实验室的学术指导机构，由依托单位聘任，</w:t>
      </w:r>
      <w:r>
        <w:rPr>
          <w:rFonts w:hint="eastAsia" w:ascii="仿宋_GB2312" w:eastAsia="仿宋_GB2312"/>
          <w:color w:val="auto"/>
          <w:sz w:val="32"/>
          <w:szCs w:val="32"/>
          <w:highlight w:val="none"/>
          <w:u w:val="none"/>
          <w:lang w:val="en-US" w:eastAsia="zh-CN"/>
        </w:rPr>
        <w:t>经</w:t>
      </w:r>
      <w:r>
        <w:rPr>
          <w:rFonts w:hint="eastAsia" w:ascii="仿宋_GB2312" w:eastAsia="仿宋_GB2312"/>
          <w:color w:val="auto"/>
          <w:sz w:val="32"/>
          <w:szCs w:val="32"/>
          <w:highlight w:val="none"/>
          <w:u w:val="none"/>
        </w:rPr>
        <w:t>所属省级中医药</w:t>
      </w:r>
      <w:r>
        <w:rPr>
          <w:rFonts w:hint="eastAsia" w:ascii="仿宋_GB2312" w:eastAsia="仿宋_GB2312"/>
          <w:color w:val="auto"/>
          <w:sz w:val="32"/>
          <w:szCs w:val="32"/>
          <w:highlight w:val="none"/>
          <w:u w:val="none"/>
          <w:lang w:val="en-US" w:eastAsia="zh-CN"/>
        </w:rPr>
        <w:t>主管</w:t>
      </w:r>
      <w:r>
        <w:rPr>
          <w:rFonts w:hint="eastAsia" w:ascii="仿宋_GB2312" w:eastAsia="仿宋_GB2312"/>
          <w:color w:val="auto"/>
          <w:sz w:val="32"/>
          <w:szCs w:val="32"/>
          <w:highlight w:val="none"/>
          <w:u w:val="none"/>
        </w:rPr>
        <w:t>部门核准并报国家中医药管理局备案。职责是审议重点实验室的建设规划、研究方案、重大学术活动、年度报告、开放课题等。</w:t>
      </w:r>
    </w:p>
    <w:p w14:paraId="6D031CBC">
      <w:pPr>
        <w:ind w:firstLine="570" w:firstLineChars="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学术委员会</w:t>
      </w:r>
      <w:r>
        <w:rPr>
          <w:rFonts w:hint="eastAsia" w:ascii="仿宋_GB2312" w:eastAsia="仿宋_GB2312"/>
          <w:color w:val="auto"/>
          <w:sz w:val="32"/>
          <w:szCs w:val="32"/>
          <w:highlight w:val="none"/>
          <w:u w:val="none"/>
          <w:lang w:val="en-US" w:eastAsia="zh-CN"/>
        </w:rPr>
        <w:t>主任</w:t>
      </w:r>
      <w:r>
        <w:rPr>
          <w:rFonts w:hint="eastAsia" w:ascii="仿宋_GB2312" w:eastAsia="仿宋_GB2312"/>
          <w:color w:val="auto"/>
          <w:sz w:val="32"/>
          <w:szCs w:val="32"/>
          <w:u w:val="none"/>
        </w:rPr>
        <w:t>一般</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由非</w:t>
      </w:r>
      <w:r>
        <w:rPr>
          <w:rFonts w:hint="eastAsia" w:ascii="仿宋_GB2312" w:eastAsia="仿宋_GB2312"/>
          <w:color w:val="auto"/>
          <w:sz w:val="32"/>
          <w:szCs w:val="32"/>
          <w:u w:val="none"/>
          <w:lang w:val="en-US" w:eastAsia="zh-CN"/>
        </w:rPr>
        <w:t>依托单位及参与单位</w:t>
      </w:r>
      <w:r>
        <w:rPr>
          <w:rFonts w:hint="eastAsia" w:ascii="仿宋_GB2312" w:eastAsia="仿宋_GB2312"/>
          <w:color w:val="auto"/>
          <w:sz w:val="32"/>
          <w:szCs w:val="32"/>
          <w:u w:val="none"/>
        </w:rPr>
        <w:t>人员担任</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应在本领域或与本领域相关的交叉学科领域具有较高学术水平。委员</w:t>
      </w:r>
      <w:r>
        <w:rPr>
          <w:rFonts w:hint="eastAsia" w:ascii="仿宋_GB2312" w:eastAsia="仿宋_GB2312"/>
          <w:color w:val="auto"/>
          <w:sz w:val="32"/>
          <w:szCs w:val="32"/>
          <w:highlight w:val="none"/>
          <w:u w:val="none"/>
          <w:lang w:eastAsia="zh-CN"/>
        </w:rPr>
        <w:t>应</w:t>
      </w:r>
      <w:r>
        <w:rPr>
          <w:rFonts w:hint="eastAsia" w:ascii="仿宋_GB2312" w:eastAsia="仿宋_GB2312"/>
          <w:color w:val="auto"/>
          <w:sz w:val="32"/>
          <w:szCs w:val="32"/>
          <w:highlight w:val="none"/>
          <w:u w:val="none"/>
        </w:rPr>
        <w:t>由9至15位国内外优秀专家组成，其中依托单位的委员不超过总人数的1/3。委员每届任期5年，一般连任不超过2届，每次换届</w:t>
      </w:r>
      <w:r>
        <w:rPr>
          <w:rFonts w:hint="eastAsia" w:ascii="仿宋_GB2312" w:eastAsia="仿宋_GB2312"/>
          <w:color w:val="auto"/>
          <w:sz w:val="32"/>
          <w:szCs w:val="32"/>
          <w:highlight w:val="none"/>
          <w:u w:val="none"/>
          <w:lang w:eastAsia="zh-CN"/>
        </w:rPr>
        <w:t>应</w:t>
      </w:r>
      <w:r>
        <w:rPr>
          <w:rFonts w:hint="eastAsia" w:ascii="仿宋_GB2312" w:eastAsia="仿宋_GB2312"/>
          <w:color w:val="auto"/>
          <w:sz w:val="32"/>
          <w:szCs w:val="32"/>
          <w:highlight w:val="none"/>
          <w:u w:val="none"/>
        </w:rPr>
        <w:t>更换1/3以上委员，原则上2次不出席学术委员会会议的</w:t>
      </w:r>
      <w:r>
        <w:rPr>
          <w:rFonts w:hint="eastAsia" w:ascii="仿宋_GB2312" w:eastAsia="仿宋_GB2312"/>
          <w:color w:val="auto"/>
          <w:sz w:val="32"/>
          <w:szCs w:val="32"/>
          <w:highlight w:val="none"/>
          <w:u w:val="none"/>
          <w:lang w:eastAsia="zh-CN"/>
        </w:rPr>
        <w:t>应</w:t>
      </w:r>
      <w:r>
        <w:rPr>
          <w:rFonts w:hint="eastAsia" w:ascii="仿宋_GB2312" w:eastAsia="仿宋_GB2312"/>
          <w:color w:val="auto"/>
          <w:sz w:val="32"/>
          <w:szCs w:val="32"/>
          <w:highlight w:val="none"/>
          <w:u w:val="none"/>
        </w:rPr>
        <w:t>予以更换。</w:t>
      </w:r>
    </w:p>
    <w:p w14:paraId="0404DDB5">
      <w:pPr>
        <w:ind w:firstLine="640" w:firstLineChars="200"/>
        <w:rPr>
          <w:rFonts w:hint="eastAsia" w:ascii="仿宋_GB2312" w:eastAsia="仿宋_GB2312"/>
          <w:color w:val="auto"/>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重点实验室的建设经费、运行费用和研究经费主要由</w:t>
      </w:r>
      <w:r>
        <w:rPr>
          <w:rFonts w:hint="eastAsia" w:ascii="仿宋_GB2312" w:eastAsia="仿宋_GB2312"/>
          <w:color w:val="auto"/>
          <w:sz w:val="32"/>
          <w:szCs w:val="32"/>
          <w:u w:val="none"/>
          <w:lang w:val="en-US" w:eastAsia="zh-CN"/>
        </w:rPr>
        <w:t>中央、地方财政支持及</w:t>
      </w:r>
      <w:r>
        <w:rPr>
          <w:rFonts w:hint="eastAsia" w:ascii="仿宋_GB2312" w:eastAsia="仿宋_GB2312"/>
          <w:color w:val="auto"/>
          <w:sz w:val="32"/>
          <w:szCs w:val="32"/>
          <w:u w:val="none"/>
        </w:rPr>
        <w:t>重点实验室和依托单位自筹。鼓励重点实验室通过地方财政或者社会资金等多种方式筹措资金，资金使用</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公开透明</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用于重点实验室的建设和运行。</w:t>
      </w:r>
    </w:p>
    <w:p w14:paraId="120D67A6">
      <w:pPr>
        <w:ind w:firstLine="640" w:firstLineChars="200"/>
        <w:rPr>
          <w:rFonts w:ascii="仿宋_GB2312" w:eastAsia="仿宋_GB2312"/>
          <w:color w:val="auto"/>
          <w:sz w:val="32"/>
          <w:szCs w:val="32"/>
          <w:highlight w:val="none"/>
          <w:u w:val="none"/>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二十四</w:t>
      </w:r>
      <w:r>
        <w:rPr>
          <w:rFonts w:hint="eastAsia" w:ascii="黑体" w:hAnsi="黑体" w:eastAsia="黑体" w:cs="黑体"/>
          <w:color w:val="auto"/>
          <w:sz w:val="32"/>
          <w:szCs w:val="32"/>
          <w:highlight w:val="none"/>
          <w:u w:val="none"/>
        </w:rPr>
        <w:t>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 xml:space="preserve"> 重点实验室要坚持相对稳定的研究方向</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原则上不超过3个。</w:t>
      </w:r>
      <w:r>
        <w:rPr>
          <w:rFonts w:hint="eastAsia" w:ascii="仿宋_GB2312" w:eastAsia="仿宋_GB2312"/>
          <w:color w:val="auto"/>
          <w:sz w:val="32"/>
          <w:szCs w:val="32"/>
          <w:highlight w:val="none"/>
          <w:u w:val="none"/>
        </w:rPr>
        <w:t>通过</w:t>
      </w:r>
      <w:r>
        <w:rPr>
          <w:rFonts w:hint="eastAsia" w:ascii="仿宋_GB2312" w:eastAsia="仿宋_GB2312"/>
          <w:color w:val="auto"/>
          <w:sz w:val="32"/>
          <w:szCs w:val="32"/>
          <w:highlight w:val="none"/>
          <w:u w:val="none"/>
          <w:lang w:val="en-US" w:eastAsia="zh-CN"/>
        </w:rPr>
        <w:t>承担</w:t>
      </w:r>
      <w:r>
        <w:rPr>
          <w:rFonts w:hint="eastAsia" w:ascii="仿宋_GB2312" w:eastAsia="仿宋_GB2312"/>
          <w:color w:val="auto"/>
          <w:sz w:val="32"/>
          <w:szCs w:val="32"/>
          <w:highlight w:val="none"/>
          <w:u w:val="none"/>
        </w:rPr>
        <w:t>国家重大项目在本领域的研究中发挥引领作用，探索符合中医药特点、有利于突出和发挥中医药特色优势的多种运行机制和组织模式。</w:t>
      </w:r>
    </w:p>
    <w:p w14:paraId="11DF39CD">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val="en-US" w:eastAsia="zh-CN"/>
        </w:rPr>
        <w:t>五</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重点实验室应因时、因地制宜，建立符合自身发展内在需求和特色的人才培养、引进、竞争和激励机制，注重不同层次人才培养，创建科学、灵活的人才培养机制。鼓励与国内外科研机构和行业企业联合培养创新人才。 </w:t>
      </w:r>
    </w:p>
    <w:p w14:paraId="0AFF438D">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val="en-US" w:eastAsia="zh-CN"/>
        </w:rPr>
        <w:t>六</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重点实验室要建立良好的共享开放机制，积极组织开展国内、国际学术交流和科研项目合作，</w:t>
      </w:r>
      <w:r>
        <w:rPr>
          <w:rFonts w:hint="eastAsia" w:ascii="仿宋_GB2312" w:eastAsia="仿宋_GB2312"/>
          <w:color w:val="auto"/>
          <w:sz w:val="32"/>
          <w:szCs w:val="32"/>
          <w:highlight w:val="none"/>
          <w:u w:val="none"/>
        </w:rPr>
        <w:t>加强与学会协会的协作交流，</w:t>
      </w:r>
      <w:r>
        <w:rPr>
          <w:rFonts w:hint="eastAsia" w:ascii="仿宋_GB2312" w:eastAsia="仿宋_GB2312"/>
          <w:color w:val="auto"/>
          <w:sz w:val="32"/>
          <w:szCs w:val="32"/>
          <w:u w:val="none"/>
        </w:rPr>
        <w:t>并设立开放课题，形成较强的学术辐射能力。</w:t>
      </w:r>
    </w:p>
    <w:p w14:paraId="03649C95">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val="en-US" w:eastAsia="zh-CN"/>
        </w:rPr>
        <w:t>七</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重点实验室</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加强知识产权的规范管理。在重点实验室完成的研究成果（包括专著、论文、软件、数据库等）均</w:t>
      </w:r>
      <w:r>
        <w:rPr>
          <w:rFonts w:hint="eastAsia" w:ascii="仿宋_GB2312" w:eastAsia="仿宋_GB2312"/>
          <w:color w:val="auto"/>
          <w:sz w:val="32"/>
          <w:szCs w:val="32"/>
          <w:u w:val="none"/>
          <w:lang w:eastAsia="zh-CN"/>
        </w:rPr>
        <w:t>应</w:t>
      </w:r>
      <w:r>
        <w:rPr>
          <w:rFonts w:hint="eastAsia" w:ascii="仿宋_GB2312" w:eastAsia="仿宋_GB2312"/>
          <w:color w:val="auto"/>
          <w:sz w:val="32"/>
          <w:szCs w:val="32"/>
          <w:u w:val="none"/>
        </w:rPr>
        <w:t>标注重点实验室名称</w:t>
      </w:r>
      <w:r>
        <w:rPr>
          <w:rFonts w:hint="eastAsia" w:ascii="仿宋_GB2312" w:eastAsia="仿宋_GB2312"/>
          <w:color w:val="auto"/>
          <w:sz w:val="32"/>
          <w:szCs w:val="32"/>
          <w:highlight w:val="none"/>
          <w:u w:val="none"/>
        </w:rPr>
        <w:t>，</w:t>
      </w:r>
      <w:r>
        <w:rPr>
          <w:rFonts w:hint="eastAsia" w:ascii="仿宋_GB2312" w:eastAsia="仿宋_GB2312"/>
          <w:color w:val="auto"/>
          <w:sz w:val="32"/>
          <w:szCs w:val="32"/>
          <w:u w:val="none"/>
        </w:rPr>
        <w:t>专利申请、技术成果转让和奖励申报按国家有关规定办理。</w:t>
      </w:r>
    </w:p>
    <w:p w14:paraId="33845B79">
      <w:pPr>
        <w:ind w:firstLine="640" w:firstLineChars="200"/>
        <w:rPr>
          <w:rFonts w:hint="default" w:ascii="仿宋_GB2312" w:eastAsia="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rPr>
        <w:t>第</w:t>
      </w:r>
      <w:r>
        <w:rPr>
          <w:rFonts w:hint="eastAsia" w:ascii="黑体" w:hAnsi="黑体" w:eastAsia="黑体" w:cs="黑体"/>
          <w:color w:val="auto"/>
          <w:sz w:val="32"/>
          <w:szCs w:val="32"/>
          <w:highlight w:val="none"/>
          <w:u w:val="none"/>
          <w:lang w:val="en-US" w:eastAsia="zh-CN"/>
        </w:rPr>
        <w:t>二十八</w:t>
      </w:r>
      <w:r>
        <w:rPr>
          <w:rFonts w:hint="eastAsia" w:ascii="黑体" w:hAnsi="黑体" w:eastAsia="黑体" w:cs="黑体"/>
          <w:color w:val="auto"/>
          <w:sz w:val="32"/>
          <w:szCs w:val="32"/>
          <w:highlight w:val="none"/>
          <w:u w:val="none"/>
        </w:rPr>
        <w:t>条</w:t>
      </w:r>
      <w:r>
        <w:rPr>
          <w:rFonts w:hint="eastAsia" w:ascii="仿宋_GB2312" w:eastAsia="仿宋_GB2312"/>
          <w:color w:val="auto"/>
          <w:sz w:val="32"/>
          <w:szCs w:val="32"/>
          <w:highlight w:val="none"/>
          <w:u w:val="none"/>
        </w:rPr>
        <w:t xml:space="preserve">  重点实验室</w:t>
      </w:r>
      <w:r>
        <w:rPr>
          <w:rFonts w:hint="eastAsia" w:ascii="仿宋_GB2312" w:eastAsia="仿宋_GB2312"/>
          <w:color w:val="auto"/>
          <w:sz w:val="32"/>
          <w:szCs w:val="32"/>
          <w:highlight w:val="none"/>
          <w:u w:val="none"/>
          <w:lang w:eastAsia="zh-CN"/>
        </w:rPr>
        <w:t>应</w:t>
      </w:r>
      <w:r>
        <w:rPr>
          <w:rFonts w:hint="eastAsia" w:ascii="仿宋_GB2312" w:eastAsia="仿宋_GB2312"/>
          <w:color w:val="auto"/>
          <w:sz w:val="32"/>
          <w:szCs w:val="32"/>
          <w:highlight w:val="none"/>
          <w:u w:val="none"/>
        </w:rPr>
        <w:t>注重</w:t>
      </w:r>
      <w:r>
        <w:rPr>
          <w:rFonts w:hint="eastAsia" w:ascii="仿宋_GB2312" w:eastAsia="仿宋_GB2312"/>
          <w:color w:val="auto"/>
          <w:sz w:val="32"/>
          <w:szCs w:val="32"/>
          <w:highlight w:val="none"/>
          <w:u w:val="none"/>
          <w:lang w:val="en-US" w:eastAsia="zh-CN"/>
        </w:rPr>
        <w:t>科技</w:t>
      </w:r>
      <w:r>
        <w:rPr>
          <w:rFonts w:hint="eastAsia" w:ascii="仿宋_GB2312" w:eastAsia="仿宋_GB2312"/>
          <w:color w:val="auto"/>
          <w:sz w:val="32"/>
          <w:szCs w:val="32"/>
          <w:highlight w:val="none"/>
          <w:u w:val="none"/>
        </w:rPr>
        <w:t>成果的</w:t>
      </w:r>
      <w:r>
        <w:rPr>
          <w:rFonts w:hint="eastAsia" w:ascii="仿宋_GB2312" w:eastAsia="仿宋_GB2312"/>
          <w:color w:val="auto"/>
          <w:sz w:val="32"/>
          <w:szCs w:val="32"/>
          <w:highlight w:val="none"/>
          <w:u w:val="none"/>
          <w:lang w:val="en-US" w:eastAsia="zh-CN"/>
        </w:rPr>
        <w:t>登记和</w:t>
      </w:r>
      <w:r>
        <w:rPr>
          <w:rFonts w:hint="eastAsia" w:ascii="仿宋_GB2312" w:eastAsia="仿宋_GB2312"/>
          <w:color w:val="auto"/>
          <w:sz w:val="32"/>
          <w:szCs w:val="32"/>
          <w:highlight w:val="none"/>
          <w:u w:val="none"/>
        </w:rPr>
        <w:t>转移转化，</w:t>
      </w:r>
      <w:r>
        <w:rPr>
          <w:rFonts w:hint="eastAsia" w:ascii="仿宋_GB2312" w:eastAsia="仿宋_GB2312"/>
          <w:color w:val="auto"/>
          <w:sz w:val="32"/>
          <w:szCs w:val="32"/>
          <w:highlight w:val="none"/>
          <w:u w:val="none"/>
          <w:lang w:val="en-US" w:eastAsia="zh-CN"/>
        </w:rPr>
        <w:t>按相关规定将成果信息纳入国家科技报告系统、中医药科技成果登记系统和科技成果转化项目库等。积极采取措施，促进成果转移转化落地。</w:t>
      </w:r>
    </w:p>
    <w:p w14:paraId="567D6700">
      <w:pPr>
        <w:ind w:firstLine="640" w:firstLineChars="200"/>
        <w:rPr>
          <w:rFonts w:hint="eastAsia"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二十九</w:t>
      </w:r>
      <w:r>
        <w:rPr>
          <w:rFonts w:hint="eastAsia" w:ascii="黑体" w:hAnsi="黑体" w:eastAsia="黑体" w:cs="黑体"/>
          <w:color w:val="auto"/>
          <w:sz w:val="32"/>
          <w:szCs w:val="32"/>
          <w:u w:val="none"/>
        </w:rPr>
        <w:t>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重点实验室要营造宽松民主、团结协作、积极进取的工作环境，营造潜心研究、勇于创新和宽容失败的学术氛围。实验室要高度重视学术道德和学风建设，加强自我监督。</w:t>
      </w:r>
    </w:p>
    <w:p w14:paraId="67B8A216">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 xml:space="preserve">   </w:t>
      </w:r>
    </w:p>
    <w:p w14:paraId="53CBE09C">
      <w:pPr>
        <w:jc w:val="center"/>
        <w:rPr>
          <w:rFonts w:ascii="仿宋_GB2312" w:eastAsia="仿宋_GB2312"/>
          <w:color w:val="auto"/>
          <w:sz w:val="32"/>
          <w:szCs w:val="32"/>
          <w:u w:val="none"/>
        </w:rPr>
      </w:pPr>
      <w:r>
        <w:rPr>
          <w:rStyle w:val="12"/>
          <w:rFonts w:hint="eastAsia" w:ascii="黑体" w:hAnsi="黑体" w:eastAsia="黑体" w:cs="黑体"/>
          <w:b w:val="0"/>
          <w:bCs w:val="0"/>
          <w:color w:val="auto"/>
          <w:sz w:val="32"/>
          <w:szCs w:val="32"/>
          <w:u w:val="none"/>
        </w:rPr>
        <w:t>第五章 考核与评估</w:t>
      </w:r>
    </w:p>
    <w:p w14:paraId="30FDD493">
      <w:pPr>
        <w:widowControl/>
        <w:shd w:val="clear" w:color="auto" w:fill="FFFFFF"/>
        <w:spacing w:line="360" w:lineRule="atLeast"/>
        <w:ind w:firstLine="640" w:firstLineChars="200"/>
        <w:jc w:val="left"/>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第三十条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建设期和运行期内，</w:t>
      </w:r>
      <w:r>
        <w:rPr>
          <w:rFonts w:hint="eastAsia" w:ascii="仿宋_GB2312" w:hAnsi="仿宋_GB2312" w:eastAsia="仿宋_GB2312" w:cs="仿宋_GB2312"/>
          <w:color w:val="auto"/>
          <w:kern w:val="0"/>
          <w:sz w:val="32"/>
          <w:szCs w:val="32"/>
          <w:u w:val="none"/>
        </w:rPr>
        <w:t>重点实验室</w:t>
      </w:r>
      <w:r>
        <w:rPr>
          <w:rFonts w:hint="eastAsia" w:ascii="仿宋_GB2312" w:hAnsi="仿宋_GB2312" w:eastAsia="仿宋_GB2312" w:cs="仿宋_GB2312"/>
          <w:color w:val="auto"/>
          <w:kern w:val="0"/>
          <w:sz w:val="32"/>
          <w:szCs w:val="32"/>
          <w:u w:val="none"/>
          <w:lang w:eastAsia="zh-CN"/>
        </w:rPr>
        <w:t>应</w:t>
      </w:r>
      <w:r>
        <w:rPr>
          <w:rFonts w:hint="eastAsia" w:ascii="仿宋_GB2312" w:hAnsi="仿宋_GB2312" w:eastAsia="仿宋_GB2312" w:cs="仿宋_GB2312"/>
          <w:color w:val="auto"/>
          <w:kern w:val="0"/>
          <w:sz w:val="32"/>
          <w:szCs w:val="32"/>
          <w:u w:val="none"/>
        </w:rPr>
        <w:t>于每年</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u w:val="none"/>
        </w:rPr>
        <w:t>月底前</w:t>
      </w:r>
      <w:r>
        <w:rPr>
          <w:rFonts w:hint="eastAsia" w:ascii="仿宋_GB2312" w:hAnsi="仿宋_GB2312" w:eastAsia="仿宋_GB2312" w:cs="仿宋_GB2312"/>
          <w:color w:val="auto"/>
          <w:kern w:val="0"/>
          <w:sz w:val="32"/>
          <w:szCs w:val="32"/>
          <w:u w:val="none"/>
          <w:lang w:val="en-US" w:eastAsia="zh-CN"/>
        </w:rPr>
        <w:t>完成</w:t>
      </w:r>
      <w:r>
        <w:rPr>
          <w:rFonts w:hint="eastAsia" w:ascii="仿宋_GB2312" w:hAnsi="仿宋_GB2312" w:eastAsia="仿宋_GB2312" w:cs="仿宋_GB2312"/>
          <w:color w:val="auto"/>
          <w:kern w:val="0"/>
          <w:sz w:val="32"/>
          <w:szCs w:val="32"/>
          <w:u w:val="none"/>
        </w:rPr>
        <w:t>上年度的《国家中医药管理局重点实验室年度报告》（以下简称《年度报告》</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经依托单位</w:t>
      </w:r>
      <w:r>
        <w:rPr>
          <w:rFonts w:hint="eastAsia" w:ascii="仿宋_GB2312" w:hAnsi="仿宋_GB2312" w:eastAsia="仿宋_GB2312" w:cs="仿宋_GB2312"/>
          <w:color w:val="auto"/>
          <w:kern w:val="0"/>
          <w:sz w:val="32"/>
          <w:szCs w:val="32"/>
          <w:u w:val="none"/>
          <w:lang w:val="en-US" w:eastAsia="zh-CN"/>
        </w:rPr>
        <w:t>审核</w:t>
      </w:r>
      <w:r>
        <w:rPr>
          <w:rFonts w:hint="eastAsia" w:ascii="仿宋_GB2312" w:hAnsi="仿宋_GB2312" w:eastAsia="仿宋_GB2312" w:cs="仿宋_GB2312"/>
          <w:color w:val="auto"/>
          <w:kern w:val="0"/>
          <w:sz w:val="32"/>
          <w:szCs w:val="32"/>
          <w:u w:val="none"/>
        </w:rPr>
        <w:t>后报省级中医药</w:t>
      </w:r>
      <w:r>
        <w:rPr>
          <w:rFonts w:hint="eastAsia" w:ascii="仿宋_GB2312" w:hAnsi="仿宋_GB2312" w:eastAsia="仿宋_GB2312" w:cs="仿宋_GB2312"/>
          <w:color w:val="auto"/>
          <w:kern w:val="0"/>
          <w:sz w:val="32"/>
          <w:szCs w:val="32"/>
          <w:u w:val="none"/>
          <w:lang w:val="en-US" w:eastAsia="zh-CN"/>
        </w:rPr>
        <w:t>主管</w:t>
      </w:r>
      <w:r>
        <w:rPr>
          <w:rFonts w:hint="eastAsia" w:ascii="仿宋_GB2312" w:hAnsi="仿宋_GB2312" w:eastAsia="仿宋_GB2312" w:cs="仿宋_GB2312"/>
          <w:color w:val="auto"/>
          <w:kern w:val="0"/>
          <w:sz w:val="32"/>
          <w:szCs w:val="32"/>
          <w:u w:val="none"/>
        </w:rPr>
        <w:t>部门。</w:t>
      </w:r>
    </w:p>
    <w:p w14:paraId="0F8A8E4B">
      <w:pPr>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省级中医药</w:t>
      </w:r>
      <w:r>
        <w:rPr>
          <w:rFonts w:hint="eastAsia" w:ascii="仿宋_GB2312" w:hAnsi="仿宋_GB2312" w:eastAsia="仿宋_GB2312" w:cs="仿宋_GB2312"/>
          <w:color w:val="auto"/>
          <w:kern w:val="0"/>
          <w:sz w:val="32"/>
          <w:szCs w:val="32"/>
          <w:u w:val="none"/>
          <w:lang w:val="en-US" w:eastAsia="zh-CN"/>
        </w:rPr>
        <w:t>主管</w:t>
      </w:r>
      <w:r>
        <w:rPr>
          <w:rFonts w:hint="eastAsia" w:ascii="仿宋_GB2312" w:hAnsi="仿宋_GB2312" w:eastAsia="仿宋_GB2312" w:cs="仿宋_GB2312"/>
          <w:color w:val="auto"/>
          <w:kern w:val="0"/>
          <w:sz w:val="32"/>
          <w:szCs w:val="32"/>
          <w:u w:val="none"/>
        </w:rPr>
        <w:t>部门以</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年度报告</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为基础，每年组织对实验室进行年度考核，并将考核结果</w:t>
      </w:r>
      <w:r>
        <w:rPr>
          <w:rFonts w:hint="eastAsia" w:ascii="仿宋_GB2312" w:hAnsi="仿宋_GB2312" w:eastAsia="仿宋_GB2312" w:cs="仿宋_GB2312"/>
          <w:color w:val="auto"/>
          <w:kern w:val="0"/>
          <w:sz w:val="32"/>
          <w:szCs w:val="32"/>
          <w:u w:val="none"/>
          <w:lang w:val="en-US" w:eastAsia="zh-CN"/>
        </w:rPr>
        <w:t>连同</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年度报告</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于每年2月底前报国家中医药管理局。</w:t>
      </w:r>
    </w:p>
    <w:p w14:paraId="523DFB72">
      <w:pPr>
        <w:widowControl/>
        <w:shd w:val="clear" w:color="auto" w:fill="FFFFFF"/>
        <w:spacing w:line="360" w:lineRule="atLeast"/>
        <w:ind w:firstLine="640" w:firstLineChars="200"/>
        <w:jc w:val="both"/>
        <w:rPr>
          <w:rFonts w:hint="eastAsia"/>
          <w:u w:val="none"/>
        </w:rPr>
      </w:pPr>
      <w:r>
        <w:rPr>
          <w:rFonts w:hint="eastAsia" w:ascii="黑体" w:hAnsi="黑体" w:eastAsia="黑体" w:cs="黑体"/>
          <w:color w:val="auto"/>
          <w:kern w:val="0"/>
          <w:sz w:val="32"/>
          <w:szCs w:val="32"/>
          <w:u w:val="none"/>
        </w:rPr>
        <w:t>第三十</w:t>
      </w:r>
      <w:r>
        <w:rPr>
          <w:rFonts w:hint="eastAsia" w:ascii="黑体" w:hAnsi="黑体" w:eastAsia="黑体" w:cs="黑体"/>
          <w:color w:val="auto"/>
          <w:kern w:val="0"/>
          <w:sz w:val="32"/>
          <w:szCs w:val="32"/>
          <w:u w:val="none"/>
          <w:lang w:val="en-US" w:eastAsia="zh-CN"/>
        </w:rPr>
        <w:t>一</w:t>
      </w:r>
      <w:r>
        <w:rPr>
          <w:rFonts w:hint="eastAsia" w:ascii="黑体" w:hAnsi="黑体" w:eastAsia="黑体" w:cs="黑体"/>
          <w:color w:val="auto"/>
          <w:kern w:val="0"/>
          <w:sz w:val="32"/>
          <w:szCs w:val="32"/>
          <w:u w:val="none"/>
        </w:rPr>
        <w:t>条</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建设期内，</w:t>
      </w:r>
      <w:r>
        <w:rPr>
          <w:rFonts w:hint="eastAsia" w:ascii="仿宋_GB2312" w:hAnsi="仿宋_GB2312" w:eastAsia="仿宋_GB2312" w:cs="仿宋_GB2312"/>
          <w:color w:val="auto"/>
          <w:kern w:val="0"/>
          <w:sz w:val="32"/>
          <w:szCs w:val="32"/>
          <w:u w:val="none"/>
        </w:rPr>
        <w:t>根据年度考核情况和工作需要，国家中医药管理局不定期组织专家委员会对重点实验室督导检查，研究并督促解决重点实验室存在的问题。督导检查的主要形式包括查阅相关文件、听取工作报告、现场考察运行状态等</w:t>
      </w:r>
      <w:r>
        <w:rPr>
          <w:rFonts w:hint="eastAsia" w:ascii="仿宋_GB2312" w:hAnsi="仿宋_GB2312" w:eastAsia="仿宋_GB2312" w:cs="仿宋_GB2312"/>
          <w:color w:val="auto"/>
          <w:kern w:val="0"/>
          <w:sz w:val="32"/>
          <w:szCs w:val="32"/>
          <w:u w:val="none"/>
          <w:lang w:eastAsia="zh-CN"/>
        </w:rPr>
        <w:t>。</w:t>
      </w:r>
    </w:p>
    <w:p w14:paraId="00AC835E">
      <w:pPr>
        <w:widowControl/>
        <w:shd w:val="clear" w:color="auto" w:fill="FFFFFF"/>
        <w:spacing w:line="360" w:lineRule="atLeast"/>
        <w:ind w:firstLine="640" w:firstLineChars="200"/>
        <w:jc w:val="both"/>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第三十</w:t>
      </w:r>
      <w:r>
        <w:rPr>
          <w:rFonts w:hint="eastAsia" w:ascii="黑体" w:hAnsi="黑体" w:eastAsia="黑体" w:cs="黑体"/>
          <w:color w:val="auto"/>
          <w:kern w:val="0"/>
          <w:sz w:val="32"/>
          <w:szCs w:val="32"/>
          <w:u w:val="none"/>
          <w:lang w:val="en-US" w:eastAsia="zh-CN"/>
        </w:rPr>
        <w:t>二</w:t>
      </w:r>
      <w:r>
        <w:rPr>
          <w:rFonts w:hint="eastAsia" w:ascii="黑体" w:hAnsi="黑体" w:eastAsia="黑体" w:cs="黑体"/>
          <w:color w:val="auto"/>
          <w:kern w:val="0"/>
          <w:sz w:val="32"/>
          <w:szCs w:val="32"/>
          <w:u w:val="none"/>
        </w:rPr>
        <w:t>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建设期满通过验收后进入运行期的重点实验室，</w:t>
      </w:r>
      <w:r>
        <w:rPr>
          <w:rFonts w:hint="eastAsia" w:ascii="仿宋_GB2312" w:hAnsi="仿宋_GB2312" w:eastAsia="仿宋_GB2312" w:cs="仿宋_GB2312"/>
          <w:color w:val="auto"/>
          <w:kern w:val="0"/>
          <w:sz w:val="32"/>
          <w:szCs w:val="32"/>
          <w:u w:val="none"/>
        </w:rPr>
        <w:t>国家中医药管理局组织</w:t>
      </w:r>
      <w:r>
        <w:rPr>
          <w:rFonts w:hint="eastAsia" w:ascii="仿宋_GB2312" w:hAnsi="仿宋_GB2312" w:eastAsia="仿宋_GB2312" w:cs="仿宋_GB2312"/>
          <w:color w:val="auto"/>
          <w:kern w:val="0"/>
          <w:sz w:val="32"/>
          <w:szCs w:val="32"/>
          <w:u w:val="none"/>
          <w:lang w:val="en-US" w:eastAsia="zh-CN"/>
        </w:rPr>
        <w:t>进行</w:t>
      </w:r>
      <w:r>
        <w:rPr>
          <w:rFonts w:hint="eastAsia" w:ascii="仿宋_GB2312" w:hAnsi="仿宋_GB2312" w:eastAsia="仿宋_GB2312" w:cs="仿宋_GB2312"/>
          <w:color w:val="auto"/>
          <w:kern w:val="0"/>
          <w:sz w:val="32"/>
          <w:szCs w:val="32"/>
          <w:u w:val="none"/>
        </w:rPr>
        <w:t>定期评估，原则上5年评估一次。评估主要按照建设方案对重点实验室的整体运行成效进行综合评估。</w:t>
      </w:r>
    </w:p>
    <w:p w14:paraId="127CAE95">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国家中医药管理局根据定期评估结果，对重点实验室进行动态调整。评估结果分为优秀、良好、</w:t>
      </w:r>
      <w:r>
        <w:rPr>
          <w:rFonts w:hint="eastAsia" w:ascii="仿宋_GB2312" w:eastAsia="仿宋_GB2312"/>
          <w:color w:val="auto"/>
          <w:sz w:val="32"/>
          <w:szCs w:val="32"/>
          <w:u w:val="none"/>
          <w:lang w:val="en-US" w:eastAsia="zh-CN"/>
        </w:rPr>
        <w:t>限期</w:t>
      </w:r>
      <w:r>
        <w:rPr>
          <w:rFonts w:hint="eastAsia" w:ascii="仿宋_GB2312" w:eastAsia="仿宋_GB2312"/>
          <w:color w:val="auto"/>
          <w:sz w:val="32"/>
          <w:szCs w:val="32"/>
          <w:u w:val="none"/>
        </w:rPr>
        <w:t>整改和未通过四种，其中未通过比例</w:t>
      </w:r>
      <w:r>
        <w:rPr>
          <w:rFonts w:hint="eastAsia" w:ascii="仿宋_GB2312" w:eastAsia="仿宋_GB2312"/>
          <w:color w:val="auto"/>
          <w:sz w:val="32"/>
          <w:szCs w:val="32"/>
          <w:u w:val="none"/>
          <w:lang w:val="en-US" w:eastAsia="zh-CN"/>
        </w:rPr>
        <w:t>原则上</w:t>
      </w:r>
      <w:r>
        <w:rPr>
          <w:rFonts w:hint="eastAsia" w:ascii="仿宋_GB2312" w:eastAsia="仿宋_GB2312"/>
          <w:color w:val="auto"/>
          <w:sz w:val="32"/>
          <w:szCs w:val="32"/>
          <w:u w:val="none"/>
        </w:rPr>
        <w:t>不低于3%。未通过评估</w:t>
      </w:r>
      <w:r>
        <w:rPr>
          <w:rFonts w:hint="eastAsia" w:ascii="仿宋_GB2312" w:eastAsia="仿宋_GB2312"/>
          <w:color w:val="auto"/>
          <w:sz w:val="32"/>
          <w:szCs w:val="32"/>
          <w:u w:val="none"/>
          <w:lang w:val="en-US" w:eastAsia="zh-CN"/>
        </w:rPr>
        <w:t>及限期整改后仍未通过评估的实验室，</w:t>
      </w:r>
      <w:r>
        <w:rPr>
          <w:rFonts w:hint="eastAsia" w:ascii="仿宋_GB2312" w:eastAsia="仿宋_GB2312"/>
          <w:color w:val="auto"/>
          <w:sz w:val="32"/>
          <w:szCs w:val="32"/>
          <w:u w:val="none"/>
        </w:rPr>
        <w:t>不再列入重点实验室序列。</w:t>
      </w:r>
    </w:p>
    <w:p w14:paraId="44AEB90D">
      <w:pPr>
        <w:widowControl/>
        <w:shd w:val="clear" w:color="auto" w:fill="FFFFFF"/>
        <w:spacing w:line="360" w:lineRule="atLeast"/>
        <w:ind w:firstLine="640" w:firstLineChars="200"/>
        <w:jc w:val="left"/>
        <w:rPr>
          <w:rFonts w:hint="eastAsia" w:ascii="仿宋_GB2312" w:eastAsia="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val="en-US" w:eastAsia="zh-CN"/>
        </w:rPr>
        <w:t>四</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对不参加评估或中途退出评估的重点实验室，取消其重点实验室资格。</w:t>
      </w:r>
    </w:p>
    <w:p w14:paraId="12496499">
      <w:pPr>
        <w:widowControl/>
        <w:shd w:val="clear" w:color="auto" w:fill="FFFFFF"/>
        <w:spacing w:line="360" w:lineRule="atLeast"/>
        <w:ind w:firstLine="640" w:firstLineChars="200"/>
        <w:jc w:val="left"/>
        <w:rPr>
          <w:rFonts w:hint="eastAsia" w:ascii="仿宋_GB2312" w:eastAsia="仿宋_GB2312"/>
          <w:color w:val="auto"/>
          <w:sz w:val="32"/>
          <w:szCs w:val="32"/>
          <w:u w:val="none"/>
        </w:rPr>
      </w:pPr>
    </w:p>
    <w:p w14:paraId="56F77363">
      <w:pPr>
        <w:jc w:val="center"/>
        <w:rPr>
          <w:rStyle w:val="12"/>
          <w:rFonts w:hint="eastAsia" w:ascii="黑体" w:hAnsi="黑体" w:eastAsia="黑体" w:cs="黑体"/>
          <w:b w:val="0"/>
          <w:bCs w:val="0"/>
          <w:color w:val="auto"/>
          <w:sz w:val="32"/>
          <w:szCs w:val="32"/>
          <w:u w:val="none"/>
        </w:rPr>
      </w:pPr>
      <w:r>
        <w:rPr>
          <w:rStyle w:val="12"/>
          <w:rFonts w:hint="eastAsia" w:ascii="黑体" w:hAnsi="黑体" w:eastAsia="黑体" w:cs="黑体"/>
          <w:b w:val="0"/>
          <w:bCs w:val="0"/>
          <w:color w:val="auto"/>
          <w:sz w:val="32"/>
          <w:szCs w:val="32"/>
          <w:u w:val="none"/>
        </w:rPr>
        <w:t>第六章 附  则</w:t>
      </w:r>
    </w:p>
    <w:p w14:paraId="270F8819">
      <w:pPr>
        <w:pStyle w:val="4"/>
        <w:ind w:firstLine="640" w:firstLineChars="200"/>
        <w:rPr>
          <w:rStyle w:val="12"/>
          <w:rFonts w:hint="eastAsia" w:ascii="黑体" w:hAnsi="黑体" w:eastAsia="黑体" w:cs="黑体"/>
          <w:b w:val="0"/>
          <w:bCs w:val="0"/>
          <w:color w:val="auto"/>
          <w:sz w:val="32"/>
          <w:szCs w:val="32"/>
          <w:highlight w:val="none"/>
          <w:u w:val="none"/>
        </w:rPr>
      </w:pPr>
      <w:r>
        <w:rPr>
          <w:rFonts w:hint="eastAsia" w:ascii="黑体" w:hAnsi="黑体" w:eastAsia="黑体" w:cs="黑体"/>
          <w:color w:val="auto"/>
          <w:sz w:val="32"/>
          <w:szCs w:val="32"/>
          <w:highlight w:val="none"/>
          <w:u w:val="none"/>
        </w:rPr>
        <w:t>第三十</w:t>
      </w:r>
      <w:r>
        <w:rPr>
          <w:rFonts w:hint="eastAsia" w:ascii="黑体" w:hAnsi="黑体" w:eastAsia="黑体" w:cs="黑体"/>
          <w:color w:val="auto"/>
          <w:sz w:val="32"/>
          <w:szCs w:val="32"/>
          <w:highlight w:val="none"/>
          <w:u w:val="none"/>
          <w:lang w:val="en-US" w:eastAsia="zh-CN"/>
        </w:rPr>
        <w:t>五</w:t>
      </w:r>
      <w:r>
        <w:rPr>
          <w:rFonts w:hint="eastAsia" w:ascii="黑体" w:hAnsi="黑体" w:eastAsia="黑体" w:cs="黑体"/>
          <w:color w:val="auto"/>
          <w:sz w:val="32"/>
          <w:szCs w:val="32"/>
          <w:highlight w:val="none"/>
          <w:u w:val="none"/>
        </w:rPr>
        <w:t>条</w:t>
      </w:r>
      <w:r>
        <w:rPr>
          <w:rFonts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重点实验室建设通过验收后，统一命名为“国家中医药管理局</w:t>
      </w:r>
      <w:r>
        <w:rPr>
          <w:rFonts w:hint="default" w:ascii="Times New Roman" w:hAnsi="Times New Roman" w:eastAsia="仿宋_GB2312" w:cs="Times New Roman"/>
          <w:color w:val="auto"/>
          <w:sz w:val="32"/>
          <w:szCs w:val="32"/>
          <w:highlight w:val="none"/>
          <w:u w:val="none"/>
        </w:rPr>
        <w:t>XXX</w:t>
      </w:r>
      <w:r>
        <w:rPr>
          <w:rFonts w:hint="eastAsia" w:ascii="仿宋_GB2312" w:eastAsia="仿宋_GB2312"/>
          <w:color w:val="auto"/>
          <w:sz w:val="32"/>
          <w:szCs w:val="32"/>
          <w:highlight w:val="none"/>
          <w:u w:val="none"/>
        </w:rPr>
        <w:t>重点实验室（依托单位）”，英文名称为“</w:t>
      </w:r>
      <w:r>
        <w:rPr>
          <w:rFonts w:hint="default" w:ascii="Times New Roman" w:hAnsi="Times New Roman" w:eastAsia="仿宋_GB2312" w:cs="Times New Roman"/>
          <w:color w:val="auto"/>
          <w:sz w:val="32"/>
          <w:szCs w:val="32"/>
          <w:highlight w:val="none"/>
          <w:u w:val="none"/>
        </w:rPr>
        <w:t>NATCM Key Laboratory of XXX</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依托单位</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w:t>
      </w:r>
    </w:p>
    <w:p w14:paraId="3512A671">
      <w:pPr>
        <w:ind w:firstLine="640" w:firstLineChars="200"/>
        <w:rPr>
          <w:rFonts w:hint="eastAsia"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三十六</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已成为全国重点实验室</w:t>
      </w:r>
      <w:r>
        <w:rPr>
          <w:rFonts w:hint="eastAsia" w:ascii="仿宋_GB2312" w:eastAsia="仿宋_GB2312"/>
          <w:color w:val="auto"/>
          <w:sz w:val="32"/>
          <w:szCs w:val="32"/>
          <w:u w:val="none"/>
          <w:lang w:val="en-US" w:eastAsia="zh-CN"/>
        </w:rPr>
        <w:t>等</w:t>
      </w:r>
      <w:r>
        <w:rPr>
          <w:rFonts w:hint="eastAsia" w:ascii="仿宋_GB2312" w:eastAsia="仿宋_GB2312"/>
          <w:color w:val="auto"/>
          <w:sz w:val="32"/>
          <w:szCs w:val="32"/>
          <w:u w:val="none"/>
        </w:rPr>
        <w:t>国家级科技创新</w:t>
      </w:r>
      <w:r>
        <w:rPr>
          <w:rFonts w:hint="eastAsia" w:ascii="仿宋_GB2312" w:eastAsia="仿宋_GB2312"/>
          <w:color w:val="auto"/>
          <w:sz w:val="32"/>
          <w:szCs w:val="32"/>
          <w:u w:val="none"/>
          <w:lang w:val="en-US" w:eastAsia="zh-CN"/>
        </w:rPr>
        <w:t>平台的</w:t>
      </w:r>
      <w:r>
        <w:rPr>
          <w:rFonts w:hint="eastAsia" w:ascii="仿宋_GB2312" w:eastAsia="仿宋_GB2312"/>
          <w:color w:val="auto"/>
          <w:sz w:val="32"/>
          <w:szCs w:val="32"/>
          <w:u w:val="none"/>
        </w:rPr>
        <w:t>，不再列入重点实验室序列。</w:t>
      </w:r>
    </w:p>
    <w:p w14:paraId="189C3403">
      <w:pPr>
        <w:ind w:firstLine="640" w:firstLineChars="200"/>
        <w:rPr>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三十七</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 xml:space="preserve"> 对违反有关法律法规、规章制度的重点实验室，国家中医药管理局可责令限期整改或取消其重点实验室资格。</w:t>
      </w:r>
    </w:p>
    <w:p w14:paraId="55AF6DAC">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三十八</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本办法由国家中医药管理局负责解释。</w:t>
      </w:r>
    </w:p>
    <w:p w14:paraId="188A6913">
      <w:pPr>
        <w:ind w:firstLine="640" w:firstLineChars="200"/>
        <w:rPr>
          <w:rFonts w:ascii="仿宋_GB2312" w:eastAsia="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三十九</w:t>
      </w:r>
      <w:r>
        <w:rPr>
          <w:rFonts w:hint="eastAsia" w:ascii="黑体" w:hAnsi="黑体" w:eastAsia="黑体" w:cs="黑体"/>
          <w:color w:val="auto"/>
          <w:sz w:val="32"/>
          <w:szCs w:val="32"/>
          <w:u w:val="none"/>
        </w:rPr>
        <w:t>条</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本办法自公布之日起施行。</w:t>
      </w:r>
    </w:p>
    <w:sectPr>
      <w:footerReference r:id="rId3" w:type="default"/>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EC91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8A4F8">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C8A4F8">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5DE26A1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C06F0D"/>
    <w:rsid w:val="00072FFD"/>
    <w:rsid w:val="0008647A"/>
    <w:rsid w:val="000A101B"/>
    <w:rsid w:val="000C4A4B"/>
    <w:rsid w:val="000E78E6"/>
    <w:rsid w:val="000F214D"/>
    <w:rsid w:val="001266DE"/>
    <w:rsid w:val="001457BD"/>
    <w:rsid w:val="00155609"/>
    <w:rsid w:val="001A68EE"/>
    <w:rsid w:val="001A79D8"/>
    <w:rsid w:val="001B61FE"/>
    <w:rsid w:val="0022200F"/>
    <w:rsid w:val="0025785D"/>
    <w:rsid w:val="00262C40"/>
    <w:rsid w:val="0028559D"/>
    <w:rsid w:val="0028596C"/>
    <w:rsid w:val="002C7310"/>
    <w:rsid w:val="002D33DE"/>
    <w:rsid w:val="002F47B5"/>
    <w:rsid w:val="00324B56"/>
    <w:rsid w:val="003317BF"/>
    <w:rsid w:val="00360973"/>
    <w:rsid w:val="00371B53"/>
    <w:rsid w:val="00376B45"/>
    <w:rsid w:val="003A053F"/>
    <w:rsid w:val="003A0ECF"/>
    <w:rsid w:val="003D051E"/>
    <w:rsid w:val="003E3F45"/>
    <w:rsid w:val="003E502B"/>
    <w:rsid w:val="0042400C"/>
    <w:rsid w:val="00440F24"/>
    <w:rsid w:val="0044322B"/>
    <w:rsid w:val="00472FBC"/>
    <w:rsid w:val="00484C69"/>
    <w:rsid w:val="004C1CCB"/>
    <w:rsid w:val="004D708B"/>
    <w:rsid w:val="004E264C"/>
    <w:rsid w:val="00530FE9"/>
    <w:rsid w:val="00547B4E"/>
    <w:rsid w:val="00551178"/>
    <w:rsid w:val="00574E8B"/>
    <w:rsid w:val="00582EC7"/>
    <w:rsid w:val="005971E2"/>
    <w:rsid w:val="005A0634"/>
    <w:rsid w:val="005A46E9"/>
    <w:rsid w:val="006232E1"/>
    <w:rsid w:val="006319E3"/>
    <w:rsid w:val="00635DAE"/>
    <w:rsid w:val="006415B5"/>
    <w:rsid w:val="006652BB"/>
    <w:rsid w:val="00690C91"/>
    <w:rsid w:val="006A1293"/>
    <w:rsid w:val="006C2E0C"/>
    <w:rsid w:val="00701E60"/>
    <w:rsid w:val="00705D5F"/>
    <w:rsid w:val="00723713"/>
    <w:rsid w:val="007313BB"/>
    <w:rsid w:val="00790EFA"/>
    <w:rsid w:val="0079144C"/>
    <w:rsid w:val="007E15DB"/>
    <w:rsid w:val="00826CA5"/>
    <w:rsid w:val="008B4711"/>
    <w:rsid w:val="008D2622"/>
    <w:rsid w:val="008F1D05"/>
    <w:rsid w:val="008F4B10"/>
    <w:rsid w:val="009D1276"/>
    <w:rsid w:val="009E117F"/>
    <w:rsid w:val="009F012F"/>
    <w:rsid w:val="00A20EF4"/>
    <w:rsid w:val="00A61562"/>
    <w:rsid w:val="00A66F6B"/>
    <w:rsid w:val="00A748C6"/>
    <w:rsid w:val="00AB78A2"/>
    <w:rsid w:val="00AC7226"/>
    <w:rsid w:val="00B03ACA"/>
    <w:rsid w:val="00B04B77"/>
    <w:rsid w:val="00B104E3"/>
    <w:rsid w:val="00B20876"/>
    <w:rsid w:val="00B31FCD"/>
    <w:rsid w:val="00B64A7F"/>
    <w:rsid w:val="00BB3A50"/>
    <w:rsid w:val="00BC1207"/>
    <w:rsid w:val="00BD702A"/>
    <w:rsid w:val="00BD7610"/>
    <w:rsid w:val="00C01894"/>
    <w:rsid w:val="00C06F0D"/>
    <w:rsid w:val="00C3347E"/>
    <w:rsid w:val="00C649F4"/>
    <w:rsid w:val="00D76359"/>
    <w:rsid w:val="00D865BE"/>
    <w:rsid w:val="00DC2B4F"/>
    <w:rsid w:val="00DE2D63"/>
    <w:rsid w:val="00DF4700"/>
    <w:rsid w:val="00EA0238"/>
    <w:rsid w:val="00EB1274"/>
    <w:rsid w:val="00EC2078"/>
    <w:rsid w:val="00ED3B58"/>
    <w:rsid w:val="00F10EED"/>
    <w:rsid w:val="00F52C79"/>
    <w:rsid w:val="00F955AC"/>
    <w:rsid w:val="00FC38B6"/>
    <w:rsid w:val="039817F1"/>
    <w:rsid w:val="0398212A"/>
    <w:rsid w:val="06CD53F1"/>
    <w:rsid w:val="078F6846"/>
    <w:rsid w:val="083B603A"/>
    <w:rsid w:val="0B816EF0"/>
    <w:rsid w:val="0BC21681"/>
    <w:rsid w:val="0F9F618D"/>
    <w:rsid w:val="11660C44"/>
    <w:rsid w:val="13581385"/>
    <w:rsid w:val="13F35552"/>
    <w:rsid w:val="16B632BB"/>
    <w:rsid w:val="185B5474"/>
    <w:rsid w:val="1A2C356C"/>
    <w:rsid w:val="1A506887"/>
    <w:rsid w:val="1A646862"/>
    <w:rsid w:val="1A99174B"/>
    <w:rsid w:val="1B132036"/>
    <w:rsid w:val="1D13631D"/>
    <w:rsid w:val="1DB82C47"/>
    <w:rsid w:val="1EF42DDF"/>
    <w:rsid w:val="20F876CC"/>
    <w:rsid w:val="214E3DC8"/>
    <w:rsid w:val="232037CD"/>
    <w:rsid w:val="241E43C5"/>
    <w:rsid w:val="260C37CE"/>
    <w:rsid w:val="27BE02F3"/>
    <w:rsid w:val="28F14741"/>
    <w:rsid w:val="28FD3A78"/>
    <w:rsid w:val="2BF67536"/>
    <w:rsid w:val="2DC07DFB"/>
    <w:rsid w:val="2E4F1026"/>
    <w:rsid w:val="2F10174D"/>
    <w:rsid w:val="30083655"/>
    <w:rsid w:val="324A15E0"/>
    <w:rsid w:val="3302740B"/>
    <w:rsid w:val="34B955A4"/>
    <w:rsid w:val="35213875"/>
    <w:rsid w:val="35FE7AB4"/>
    <w:rsid w:val="3608063F"/>
    <w:rsid w:val="360A60B7"/>
    <w:rsid w:val="362E0DAF"/>
    <w:rsid w:val="36FD7942"/>
    <w:rsid w:val="379D2F5B"/>
    <w:rsid w:val="3AB26D1E"/>
    <w:rsid w:val="3B9733D4"/>
    <w:rsid w:val="3C5C4F09"/>
    <w:rsid w:val="3ECA43D7"/>
    <w:rsid w:val="41073352"/>
    <w:rsid w:val="4191275F"/>
    <w:rsid w:val="42642A91"/>
    <w:rsid w:val="43607751"/>
    <w:rsid w:val="459E5245"/>
    <w:rsid w:val="45C94E39"/>
    <w:rsid w:val="46F5605C"/>
    <w:rsid w:val="475E78D5"/>
    <w:rsid w:val="47A07B5F"/>
    <w:rsid w:val="48B325DE"/>
    <w:rsid w:val="48BB1493"/>
    <w:rsid w:val="4E1F2675"/>
    <w:rsid w:val="4F3C0E4A"/>
    <w:rsid w:val="503500A5"/>
    <w:rsid w:val="509C7DFC"/>
    <w:rsid w:val="50CD4025"/>
    <w:rsid w:val="517843C5"/>
    <w:rsid w:val="53292763"/>
    <w:rsid w:val="55982E62"/>
    <w:rsid w:val="55D83684"/>
    <w:rsid w:val="58141C89"/>
    <w:rsid w:val="5AC14EC3"/>
    <w:rsid w:val="5FF05A6E"/>
    <w:rsid w:val="602B6A4A"/>
    <w:rsid w:val="60BC04C4"/>
    <w:rsid w:val="6163719C"/>
    <w:rsid w:val="647C5B23"/>
    <w:rsid w:val="64D4770D"/>
    <w:rsid w:val="68326677"/>
    <w:rsid w:val="68D62159"/>
    <w:rsid w:val="69F50103"/>
    <w:rsid w:val="6B2815BE"/>
    <w:rsid w:val="6E2F21FB"/>
    <w:rsid w:val="6F330D71"/>
    <w:rsid w:val="6F985A89"/>
    <w:rsid w:val="70B02B4D"/>
    <w:rsid w:val="727644F9"/>
    <w:rsid w:val="72802590"/>
    <w:rsid w:val="72EE0533"/>
    <w:rsid w:val="74D62412"/>
    <w:rsid w:val="760E4547"/>
    <w:rsid w:val="76157B85"/>
    <w:rsid w:val="76D96C5D"/>
    <w:rsid w:val="7761463F"/>
    <w:rsid w:val="77AD62C7"/>
    <w:rsid w:val="785D0A50"/>
    <w:rsid w:val="79022643"/>
    <w:rsid w:val="7C854A64"/>
    <w:rsid w:val="7E3B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ody Text"/>
    <w:basedOn w:val="1"/>
    <w:autoRedefine/>
    <w:qFormat/>
    <w:uiPriority w:val="1"/>
    <w:rPr>
      <w:sz w:val="33"/>
      <w:szCs w:val="33"/>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autoRedefine/>
    <w:semiHidden/>
    <w:unhideWhenUsed/>
    <w:qFormat/>
    <w:uiPriority w:val="99"/>
    <w:rPr>
      <w:b/>
      <w:bCs/>
    </w:rPr>
  </w:style>
  <w:style w:type="character" w:styleId="12">
    <w:name w:val="Strong"/>
    <w:basedOn w:val="11"/>
    <w:autoRedefine/>
    <w:qFormat/>
    <w:uiPriority w:val="22"/>
    <w:rPr>
      <w:b/>
      <w:bCs/>
    </w:rPr>
  </w:style>
  <w:style w:type="character" w:styleId="13">
    <w:name w:val="Emphasis"/>
    <w:basedOn w:val="11"/>
    <w:qFormat/>
    <w:uiPriority w:val="20"/>
    <w:rPr>
      <w:i/>
    </w:rPr>
  </w:style>
  <w:style w:type="character" w:styleId="14">
    <w:name w:val="Hyperlink"/>
    <w:basedOn w:val="11"/>
    <w:autoRedefine/>
    <w:semiHidden/>
    <w:unhideWhenUsed/>
    <w:qFormat/>
    <w:uiPriority w:val="99"/>
    <w:rPr>
      <w:color w:val="0000FF"/>
      <w:u w:val="single"/>
    </w:rPr>
  </w:style>
  <w:style w:type="character" w:styleId="15">
    <w:name w:val="annotation reference"/>
    <w:basedOn w:val="11"/>
    <w:autoRedefine/>
    <w:semiHidden/>
    <w:unhideWhenUsed/>
    <w:qFormat/>
    <w:uiPriority w:val="99"/>
    <w:rPr>
      <w:sz w:val="21"/>
      <w:szCs w:val="21"/>
    </w:rPr>
  </w:style>
  <w:style w:type="character" w:customStyle="1" w:styleId="16">
    <w:name w:val="页眉 Char"/>
    <w:basedOn w:val="11"/>
    <w:link w:val="7"/>
    <w:autoRedefine/>
    <w:qFormat/>
    <w:uiPriority w:val="99"/>
    <w:rPr>
      <w:sz w:val="18"/>
      <w:szCs w:val="18"/>
    </w:rPr>
  </w:style>
  <w:style w:type="character" w:customStyle="1" w:styleId="17">
    <w:name w:val="页脚 Char"/>
    <w:basedOn w:val="11"/>
    <w:link w:val="6"/>
    <w:autoRedefine/>
    <w:qFormat/>
    <w:uiPriority w:val="99"/>
    <w:rPr>
      <w:sz w:val="18"/>
      <w:szCs w:val="18"/>
    </w:rPr>
  </w:style>
  <w:style w:type="character" w:customStyle="1" w:styleId="18">
    <w:name w:val="apple-converted-space"/>
    <w:basedOn w:val="11"/>
    <w:autoRedefine/>
    <w:qFormat/>
    <w:uiPriority w:val="0"/>
  </w:style>
  <w:style w:type="character" w:customStyle="1" w:styleId="19">
    <w:name w:val="批注框文本 Char"/>
    <w:basedOn w:val="11"/>
    <w:link w:val="5"/>
    <w:autoRedefine/>
    <w:semiHidden/>
    <w:qFormat/>
    <w:uiPriority w:val="99"/>
    <w:rPr>
      <w:sz w:val="18"/>
      <w:szCs w:val="18"/>
    </w:rPr>
  </w:style>
  <w:style w:type="character" w:customStyle="1" w:styleId="20">
    <w:name w:val="批注文字 Char"/>
    <w:basedOn w:val="11"/>
    <w:link w:val="3"/>
    <w:autoRedefine/>
    <w:semiHidden/>
    <w:qFormat/>
    <w:uiPriority w:val="99"/>
  </w:style>
  <w:style w:type="character" w:customStyle="1" w:styleId="21">
    <w:name w:val="批注主题 Char"/>
    <w:basedOn w:val="20"/>
    <w:link w:val="9"/>
    <w:autoRedefine/>
    <w:semiHidden/>
    <w:qFormat/>
    <w:uiPriority w:val="99"/>
    <w:rPr>
      <w:b/>
      <w:bCs/>
    </w:rPr>
  </w:style>
  <w:style w:type="paragraph" w:customStyle="1" w:styleId="22">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5027</Words>
  <Characters>5066</Characters>
  <Lines>49</Lines>
  <Paragraphs>13</Paragraphs>
  <TotalTime>18</TotalTime>
  <ScaleCrop>false</ScaleCrop>
  <LinksUpToDate>false</LinksUpToDate>
  <CharactersWithSpaces>5166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gxj</dc:creator>
  <cp:lastModifiedBy>HC Li</cp:lastModifiedBy>
  <cp:lastPrinted>2024-11-14T02:35:00Z</cp:lastPrinted>
  <dcterms:modified xsi:type="dcterms:W3CDTF">2024-11-25T09:06:17Z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BB424DD0A5A44B38B3A759830C80F998_13</vt:lpwstr>
  </property>
</Properties>
</file>