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5DAA2">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14:paraId="3A79A3F5">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21B17B40">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5497AA34">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2621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14:paraId="201C57E5">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14:paraId="712DA93E">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5A52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14:paraId="75988A19">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14:paraId="3722E099">
            <w:pPr>
              <w:widowControl/>
              <w:jc w:val="left"/>
              <w:rPr>
                <w:rFonts w:hint="eastAsia" w:ascii="仿宋" w:hAnsi="仿宋" w:eastAsia="仿宋" w:cs="仿宋"/>
                <w:kern w:val="0"/>
                <w:sz w:val="28"/>
                <w:szCs w:val="28"/>
              </w:rPr>
            </w:pPr>
            <w:r>
              <w:rPr>
                <w:rFonts w:hint="eastAsia" w:ascii="仿宋" w:hAnsi="仿宋" w:eastAsia="仿宋" w:cs="仿宋"/>
                <w:sz w:val="28"/>
                <w:szCs w:val="28"/>
                <w:lang w:val="en-US" w:eastAsia="zh-CN"/>
              </w:rPr>
              <w:t>三证合一的营业执照或事业单位法人证书复印件（须加盖本单位公章）</w:t>
            </w:r>
          </w:p>
        </w:tc>
      </w:tr>
      <w:tr w14:paraId="42E2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14:paraId="10008451">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14:paraId="2837FF3B">
            <w:pPr>
              <w:widowControl/>
              <w:jc w:val="left"/>
              <w:rPr>
                <w:rFonts w:hint="eastAsia" w:ascii="仿宋" w:hAnsi="仿宋" w:eastAsia="仿宋" w:cs="仿宋"/>
                <w:kern w:val="0"/>
                <w:sz w:val="28"/>
                <w:szCs w:val="28"/>
              </w:rPr>
            </w:pPr>
            <w:r>
              <w:rPr>
                <w:rFonts w:hint="eastAsia" w:ascii="仿宋" w:hAnsi="仿宋" w:eastAsia="仿宋" w:cs="仿宋"/>
                <w:sz w:val="28"/>
                <w:szCs w:val="28"/>
              </w:rPr>
              <w:t>遴选报价</w:t>
            </w:r>
            <w:r>
              <w:rPr>
                <w:rFonts w:hint="eastAsia" w:ascii="仿宋" w:hAnsi="仿宋" w:eastAsia="仿宋" w:cs="仿宋"/>
                <w:sz w:val="28"/>
                <w:szCs w:val="28"/>
                <w:lang w:val="en-US" w:eastAsia="zh-CN"/>
              </w:rPr>
              <w:t>不</w:t>
            </w:r>
            <w:r>
              <w:rPr>
                <w:rFonts w:hint="eastAsia" w:ascii="仿宋" w:hAnsi="仿宋" w:eastAsia="仿宋" w:cs="仿宋"/>
                <w:sz w:val="28"/>
                <w:szCs w:val="28"/>
              </w:rPr>
              <w:t>超过遴选文件规定预算金额</w:t>
            </w:r>
          </w:p>
        </w:tc>
      </w:tr>
      <w:tr w14:paraId="4A07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0464CCF3">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14:paraId="47F3982E">
            <w:pPr>
              <w:widowControl/>
              <w:jc w:val="left"/>
              <w:rPr>
                <w:rFonts w:hint="eastAsia" w:ascii="仿宋" w:hAnsi="仿宋" w:eastAsia="仿宋" w:cs="仿宋"/>
                <w:kern w:val="0"/>
                <w:sz w:val="28"/>
                <w:szCs w:val="28"/>
              </w:rPr>
            </w:pPr>
            <w:r>
              <w:rPr>
                <w:rFonts w:hint="eastAsia" w:ascii="仿宋" w:hAnsi="仿宋" w:eastAsia="仿宋" w:cs="仿宋"/>
                <w:sz w:val="28"/>
                <w:szCs w:val="28"/>
              </w:rPr>
              <w:t>遴选文件的签署、盖章合格</w:t>
            </w:r>
          </w:p>
        </w:tc>
      </w:tr>
      <w:tr w14:paraId="394B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4E56CC9B">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14:paraId="422FBA7F">
            <w:pPr>
              <w:widowControl/>
              <w:jc w:val="left"/>
              <w:rPr>
                <w:rFonts w:hint="eastAsia" w:ascii="仿宋" w:hAnsi="仿宋" w:eastAsia="仿宋" w:cs="仿宋"/>
                <w:kern w:val="0"/>
                <w:sz w:val="28"/>
                <w:szCs w:val="28"/>
              </w:rPr>
            </w:pPr>
            <w:r>
              <w:rPr>
                <w:rFonts w:hint="eastAsia" w:ascii="仿宋" w:hAnsi="仿宋" w:eastAsia="仿宋" w:cs="仿宋"/>
                <w:sz w:val="28"/>
                <w:szCs w:val="28"/>
                <w:lang w:val="en-US" w:eastAsia="zh-CN"/>
              </w:rPr>
              <w:t>参加本次遴选活动前三年内，在经营活动中没有重大违法记录的声明（供应商须提供此声明，法定法人或其授权代表签字，并加盖本单位公章）</w:t>
            </w:r>
          </w:p>
        </w:tc>
      </w:tr>
      <w:tr w14:paraId="556B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4AEADA69">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7426" w:type="dxa"/>
            <w:gridSpan w:val="2"/>
            <w:tcBorders>
              <w:top w:val="nil"/>
              <w:left w:val="single" w:color="auto" w:sz="4" w:space="0"/>
              <w:bottom w:val="single" w:color="auto" w:sz="4" w:space="0"/>
              <w:right w:val="single" w:color="auto" w:sz="4" w:space="0"/>
            </w:tcBorders>
            <w:vAlign w:val="center"/>
          </w:tcPr>
          <w:p w14:paraId="712165F5">
            <w:pPr>
              <w:widowControl/>
              <w:jc w:val="left"/>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近三年内参与社区老年服务规范化相关活动的单位优先考虑</w:t>
            </w:r>
          </w:p>
        </w:tc>
      </w:tr>
      <w:tr w14:paraId="02BF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14:paraId="7A83301C">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14:paraId="6A712455">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1AF1C6E5">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4458853C">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14:paraId="5838B281">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7BF913DB">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14:paraId="137F0304">
      <w:pPr>
        <w:spacing w:line="360" w:lineRule="auto"/>
        <w:rPr>
          <w:rFonts w:hint="eastAsia" w:ascii="仿宋" w:hAnsi="仿宋" w:eastAsia="仿宋" w:cs="宋体"/>
          <w:bCs/>
          <w:sz w:val="28"/>
          <w:szCs w:val="28"/>
        </w:rPr>
      </w:pPr>
    </w:p>
    <w:p w14:paraId="65722BFC">
      <w:pPr>
        <w:spacing w:line="360" w:lineRule="auto"/>
        <w:rPr>
          <w:rFonts w:hint="eastAsia" w:ascii="仿宋" w:hAnsi="仿宋" w:eastAsia="仿宋" w:cs="宋体"/>
          <w:bCs/>
          <w:sz w:val="28"/>
          <w:szCs w:val="28"/>
        </w:rPr>
      </w:pPr>
    </w:p>
    <w:p w14:paraId="4E7AC954">
      <w:pPr>
        <w:spacing w:line="360" w:lineRule="auto"/>
        <w:rPr>
          <w:rFonts w:hint="eastAsia" w:ascii="仿宋" w:hAnsi="仿宋" w:eastAsia="仿宋" w:cs="宋体"/>
          <w:bCs/>
          <w:sz w:val="28"/>
          <w:szCs w:val="28"/>
        </w:rPr>
      </w:pPr>
    </w:p>
    <w:p w14:paraId="16C8E960">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14:paraId="13D8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03" w:type="dxa"/>
            <w:tcBorders>
              <w:top w:val="single" w:color="auto" w:sz="4" w:space="0"/>
              <w:left w:val="single" w:color="auto" w:sz="4" w:space="0"/>
              <w:bottom w:val="single" w:color="auto" w:sz="4" w:space="0"/>
              <w:right w:val="single" w:color="auto" w:sz="4" w:space="0"/>
            </w:tcBorders>
            <w:vAlign w:val="center"/>
          </w:tcPr>
          <w:p w14:paraId="0E26B364">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内容</w:t>
            </w:r>
          </w:p>
        </w:tc>
        <w:tc>
          <w:tcPr>
            <w:tcW w:w="1344" w:type="dxa"/>
            <w:tcBorders>
              <w:top w:val="single" w:color="auto" w:sz="4" w:space="0"/>
              <w:left w:val="nil"/>
              <w:bottom w:val="nil"/>
              <w:right w:val="single" w:color="auto" w:sz="4" w:space="0"/>
            </w:tcBorders>
            <w:vAlign w:val="center"/>
          </w:tcPr>
          <w:p w14:paraId="149DB359">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评分因素分项</w:t>
            </w:r>
          </w:p>
        </w:tc>
        <w:tc>
          <w:tcPr>
            <w:tcW w:w="4798" w:type="dxa"/>
            <w:tcBorders>
              <w:top w:val="single" w:color="auto" w:sz="4" w:space="0"/>
              <w:left w:val="nil"/>
              <w:bottom w:val="nil"/>
              <w:right w:val="single" w:color="auto" w:sz="4" w:space="0"/>
            </w:tcBorders>
            <w:vAlign w:val="center"/>
          </w:tcPr>
          <w:p w14:paraId="11026B48">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14:paraId="0448AD72">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分值</w:t>
            </w:r>
          </w:p>
        </w:tc>
      </w:tr>
      <w:tr w14:paraId="042A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14:paraId="6AACC278">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14:paraId="73539DF4">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4798" w:type="dxa"/>
            <w:tcBorders>
              <w:top w:val="single" w:color="auto" w:sz="4" w:space="0"/>
              <w:left w:val="nil"/>
              <w:bottom w:val="single" w:color="auto" w:sz="4" w:space="0"/>
              <w:right w:val="single" w:color="auto" w:sz="4" w:space="0"/>
            </w:tcBorders>
            <w:vAlign w:val="center"/>
          </w:tcPr>
          <w:p w14:paraId="66F170E8">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报价得分=（评标基准价/报价）×价格权值×100</w:t>
            </w:r>
          </w:p>
        </w:tc>
        <w:tc>
          <w:tcPr>
            <w:tcW w:w="1383" w:type="dxa"/>
            <w:tcBorders>
              <w:top w:val="nil"/>
              <w:left w:val="nil"/>
              <w:bottom w:val="single" w:color="auto" w:sz="4" w:space="0"/>
              <w:right w:val="single" w:color="auto" w:sz="4" w:space="0"/>
            </w:tcBorders>
            <w:vAlign w:val="center"/>
          </w:tcPr>
          <w:p w14:paraId="2BE60499">
            <w:pPr>
              <w:widowControl/>
              <w:spacing w:line="30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10</w:t>
            </w:r>
          </w:p>
        </w:tc>
      </w:tr>
      <w:tr w14:paraId="47A8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vMerge w:val="restart"/>
            <w:tcBorders>
              <w:top w:val="nil"/>
              <w:left w:val="single" w:color="auto" w:sz="4" w:space="0"/>
              <w:bottom w:val="single" w:color="auto" w:sz="4" w:space="0"/>
              <w:right w:val="nil"/>
            </w:tcBorders>
            <w:vAlign w:val="center"/>
          </w:tcPr>
          <w:p w14:paraId="297C0AA4">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lang w:eastAsia="zh-CN"/>
              </w:rPr>
              <w:t>）</w:t>
            </w:r>
          </w:p>
        </w:tc>
        <w:tc>
          <w:tcPr>
            <w:tcW w:w="1344" w:type="dxa"/>
            <w:tcBorders>
              <w:top w:val="single" w:color="auto" w:sz="4" w:space="0"/>
              <w:left w:val="single" w:color="auto" w:sz="4" w:space="0"/>
              <w:bottom w:val="single" w:color="auto" w:sz="4" w:space="0"/>
              <w:right w:val="single" w:color="auto" w:sz="4" w:space="0"/>
            </w:tcBorders>
            <w:vAlign w:val="center"/>
          </w:tcPr>
          <w:p w14:paraId="0B559BD2">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供应商基本情况</w:t>
            </w:r>
          </w:p>
          <w:p w14:paraId="391AF8FE">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4798" w:type="dxa"/>
            <w:tcBorders>
              <w:top w:val="single" w:color="auto" w:sz="4" w:space="0"/>
              <w:left w:val="nil"/>
              <w:bottom w:val="single" w:color="auto" w:sz="4" w:space="0"/>
              <w:right w:val="single" w:color="auto" w:sz="4" w:space="0"/>
            </w:tcBorders>
            <w:vAlign w:val="center"/>
          </w:tcPr>
          <w:p w14:paraId="7DA72994">
            <w:pPr>
              <w:widowControl/>
              <w:spacing w:line="300" w:lineRule="exact"/>
              <w:rPr>
                <w:rFonts w:hint="eastAsia" w:ascii="仿宋" w:hAnsi="仿宋" w:eastAsia="仿宋" w:cs="宋体"/>
                <w:kern w:val="0"/>
                <w:sz w:val="18"/>
                <w:szCs w:val="18"/>
              </w:rPr>
            </w:pPr>
            <w:r>
              <w:rPr>
                <w:rFonts w:hint="eastAsia" w:ascii="宋体" w:hAnsi="宋体" w:cs="宋体"/>
                <w:color w:val="auto"/>
                <w:sz w:val="21"/>
                <w:szCs w:val="21"/>
                <w:highlight w:val="none"/>
              </w:rPr>
              <w:t>综合考虑</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技术状况、履约能力等(包括机构业务范围、行业等级评定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既往业务经验与本项目的匹配程度</w:t>
            </w:r>
            <w:r>
              <w:rPr>
                <w:rFonts w:hint="eastAsia" w:ascii="宋体" w:hAnsi="宋体" w:cs="宋体"/>
                <w:color w:val="auto"/>
                <w:sz w:val="21"/>
                <w:szCs w:val="21"/>
                <w:highlight w:val="none"/>
              </w:rPr>
              <w:t>等)。（横向比较，最优得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分、一般得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分、较差得0分）</w:t>
            </w:r>
          </w:p>
        </w:tc>
        <w:tc>
          <w:tcPr>
            <w:tcW w:w="1383" w:type="dxa"/>
            <w:tcBorders>
              <w:top w:val="nil"/>
              <w:left w:val="nil"/>
              <w:bottom w:val="single" w:color="auto" w:sz="4" w:space="0"/>
              <w:right w:val="single" w:color="auto" w:sz="4" w:space="0"/>
            </w:tcBorders>
            <w:vAlign w:val="center"/>
          </w:tcPr>
          <w:p w14:paraId="03B6EB42">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14:paraId="17C5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continue"/>
            <w:tcBorders>
              <w:top w:val="nil"/>
              <w:left w:val="single" w:color="auto" w:sz="4" w:space="0"/>
              <w:bottom w:val="single" w:color="000000" w:sz="4" w:space="0"/>
              <w:right w:val="single" w:color="auto" w:sz="4" w:space="0"/>
            </w:tcBorders>
            <w:vAlign w:val="center"/>
          </w:tcPr>
          <w:p w14:paraId="30E1A9CF">
            <w:pPr>
              <w:widowControl/>
              <w:spacing w:line="300" w:lineRule="exact"/>
              <w:jc w:val="center"/>
              <w:rPr>
                <w:rFonts w:hint="eastAsia" w:ascii="宋体" w:hAnsi="宋体" w:eastAsia="宋体" w:cs="宋体"/>
                <w:color w:val="auto"/>
                <w:sz w:val="21"/>
                <w:szCs w:val="21"/>
                <w:highlight w:val="none"/>
              </w:rPr>
            </w:pPr>
          </w:p>
        </w:tc>
        <w:tc>
          <w:tcPr>
            <w:tcW w:w="1344" w:type="dxa"/>
            <w:tcBorders>
              <w:top w:val="nil"/>
              <w:left w:val="nil"/>
              <w:bottom w:val="single" w:color="auto" w:sz="4" w:space="0"/>
              <w:right w:val="single" w:color="auto" w:sz="4" w:space="0"/>
            </w:tcBorders>
            <w:vAlign w:val="center"/>
          </w:tcPr>
          <w:p w14:paraId="6B600434">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供应商的业绩</w:t>
            </w:r>
          </w:p>
          <w:p w14:paraId="08302CC3">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14:paraId="64130CB3">
            <w:pPr>
              <w:widowControl/>
              <w:spacing w:line="300" w:lineRule="exact"/>
              <w:rPr>
                <w:rFonts w:ascii="仿宋" w:hAnsi="仿宋" w:eastAsia="仿宋" w:cs="宋体"/>
                <w:kern w:val="0"/>
                <w:sz w:val="18"/>
                <w:szCs w:val="18"/>
              </w:rPr>
            </w:pPr>
            <w:r>
              <w:rPr>
                <w:rFonts w:hint="eastAsia" w:ascii="宋体" w:hAnsi="宋体"/>
                <w:color w:val="auto"/>
                <w:sz w:val="21"/>
                <w:szCs w:val="21"/>
                <w:highlight w:val="none"/>
                <w:vertAlign w:val="baseline"/>
              </w:rPr>
              <w:t>综合考虑供应商 202</w:t>
            </w:r>
            <w:r>
              <w:rPr>
                <w:rFonts w:hint="eastAsia" w:ascii="宋体" w:hAnsi="宋体"/>
                <w:color w:val="auto"/>
                <w:sz w:val="21"/>
                <w:szCs w:val="21"/>
                <w:highlight w:val="none"/>
                <w:vertAlign w:val="baseline"/>
                <w:lang w:val="en-US" w:eastAsia="zh-CN"/>
              </w:rPr>
              <w:t>2</w:t>
            </w:r>
            <w:r>
              <w:rPr>
                <w:rFonts w:hint="eastAsia" w:ascii="宋体" w:hAnsi="宋体"/>
                <w:color w:val="auto"/>
                <w:sz w:val="21"/>
                <w:szCs w:val="21"/>
                <w:highlight w:val="none"/>
                <w:vertAlign w:val="baseline"/>
              </w:rPr>
              <w:t>年1月起至今，承担过同类项目业绩，每提供1个业绩得3分，本项最高得1</w:t>
            </w:r>
            <w:r>
              <w:rPr>
                <w:rFonts w:hint="eastAsia" w:ascii="宋体" w:hAnsi="宋体" w:eastAsia="宋体" w:cs="Times New Roman"/>
                <w:color w:val="auto"/>
                <w:sz w:val="21"/>
                <w:szCs w:val="21"/>
                <w:highlight w:val="none"/>
                <w:vertAlign w:val="baseline"/>
                <w:lang w:val="en-US" w:eastAsia="zh-CN"/>
              </w:rPr>
              <w:t>5</w:t>
            </w:r>
            <w:r>
              <w:rPr>
                <w:rFonts w:hint="eastAsia" w:ascii="宋体" w:hAnsi="宋体" w:eastAsia="宋体" w:cs="Times New Roman"/>
                <w:color w:val="auto"/>
                <w:sz w:val="21"/>
                <w:szCs w:val="21"/>
                <w:highlight w:val="none"/>
                <w:vertAlign w:val="baseline"/>
              </w:rPr>
              <w:t>分。（须提供合同首页、标的页、盖章页复印件盖公章或中标通知书）。未按要求提供完整资料的不得分</w:t>
            </w:r>
            <w:r>
              <w:rPr>
                <w:rFonts w:hint="eastAsia" w:ascii="宋体" w:hAnsi="宋体" w:eastAsia="宋体" w:cs="Times New Roman"/>
                <w:color w:val="auto"/>
                <w:sz w:val="21"/>
                <w:szCs w:val="21"/>
                <w:highlight w:val="none"/>
                <w:vertAlign w:val="baseline"/>
                <w:lang w:eastAsia="zh-CN"/>
              </w:rPr>
              <w:t>。</w:t>
            </w:r>
          </w:p>
        </w:tc>
        <w:tc>
          <w:tcPr>
            <w:tcW w:w="1383" w:type="dxa"/>
            <w:tcBorders>
              <w:top w:val="nil"/>
              <w:left w:val="nil"/>
              <w:bottom w:val="single" w:color="auto" w:sz="4" w:space="0"/>
              <w:right w:val="single" w:color="auto" w:sz="4" w:space="0"/>
            </w:tcBorders>
            <w:vAlign w:val="center"/>
          </w:tcPr>
          <w:p w14:paraId="10DBE972">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14:paraId="6186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14:paraId="153F588F">
            <w:pPr>
              <w:widowControl/>
              <w:spacing w:line="300" w:lineRule="exact"/>
              <w:jc w:val="center"/>
              <w:rPr>
                <w:rFonts w:hint="eastAsia" w:ascii="宋体" w:hAnsi="宋体" w:eastAsia="宋体" w:cs="宋体"/>
                <w:color w:val="auto"/>
                <w:sz w:val="21"/>
                <w:szCs w:val="21"/>
                <w:highlight w:val="none"/>
              </w:rPr>
            </w:pPr>
          </w:p>
        </w:tc>
        <w:tc>
          <w:tcPr>
            <w:tcW w:w="1344" w:type="dxa"/>
            <w:tcBorders>
              <w:top w:val="nil"/>
              <w:left w:val="nil"/>
              <w:bottom w:val="single" w:color="auto" w:sz="4" w:space="0"/>
              <w:right w:val="single" w:color="auto" w:sz="4" w:space="0"/>
            </w:tcBorders>
            <w:vAlign w:val="center"/>
          </w:tcPr>
          <w:p w14:paraId="251DB45B">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项目人员配备</w:t>
            </w:r>
          </w:p>
          <w:p w14:paraId="6BE7D55D">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14:paraId="25BCA4CB">
            <w:pPr>
              <w:pStyle w:val="21"/>
              <w:numPr>
                <w:ilvl w:val="0"/>
                <w:numId w:val="0"/>
              </w:numPr>
              <w:ind w:leftChars="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投入本项目人员配置的合理性（专业匹配、岗位设置、稳定性等）0-</w:t>
            </w:r>
            <w:r>
              <w:rPr>
                <w:rFonts w:hint="eastAsia" w:cs="宋体"/>
                <w:color w:val="auto"/>
                <w:kern w:val="2"/>
                <w:sz w:val="21"/>
                <w:szCs w:val="21"/>
                <w:highlight w:val="none"/>
                <w:lang w:val="en-US" w:eastAsia="zh-CN"/>
              </w:rPr>
              <w:t>7</w:t>
            </w:r>
            <w:r>
              <w:rPr>
                <w:rFonts w:hint="eastAsia" w:ascii="宋体" w:hAnsi="宋体" w:cs="宋体"/>
                <w:color w:val="auto"/>
                <w:kern w:val="2"/>
                <w:sz w:val="21"/>
                <w:szCs w:val="21"/>
                <w:highlight w:val="none"/>
              </w:rPr>
              <w:t>分</w:t>
            </w:r>
          </w:p>
          <w:p w14:paraId="5E41AEA4">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拟派本项目的人员的专业匹配及人员岗位配备完善、合理，经验丰富，针对性强，得</w:t>
            </w:r>
            <w:r>
              <w:rPr>
                <w:rFonts w:hint="eastAsia"/>
                <w:color w:val="auto"/>
                <w:sz w:val="21"/>
                <w:szCs w:val="21"/>
                <w:highlight w:val="none"/>
                <w:lang w:val="en-US" w:eastAsia="zh-CN"/>
              </w:rPr>
              <w:t>7</w:t>
            </w:r>
            <w:r>
              <w:rPr>
                <w:rFonts w:hint="eastAsia"/>
                <w:color w:val="auto"/>
                <w:sz w:val="21"/>
                <w:szCs w:val="21"/>
                <w:highlight w:val="none"/>
                <w:lang w:eastAsia="zh-CN"/>
              </w:rPr>
              <w:t>分；</w:t>
            </w:r>
          </w:p>
          <w:p w14:paraId="13ADFBCF">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拟派本项目的人员的专业匹配及人员岗位配备较完善、较合理，经验较为丰富，有一定得针对性，得</w:t>
            </w:r>
            <w:r>
              <w:rPr>
                <w:rFonts w:hint="eastAsia"/>
                <w:color w:val="auto"/>
                <w:sz w:val="21"/>
                <w:szCs w:val="21"/>
                <w:highlight w:val="none"/>
                <w:lang w:val="en-US" w:eastAsia="zh-CN"/>
              </w:rPr>
              <w:t>5</w:t>
            </w:r>
            <w:r>
              <w:rPr>
                <w:rFonts w:hint="eastAsia"/>
                <w:color w:val="auto"/>
                <w:sz w:val="21"/>
                <w:szCs w:val="21"/>
                <w:highlight w:val="none"/>
                <w:lang w:eastAsia="zh-CN"/>
              </w:rPr>
              <w:t>分；</w:t>
            </w:r>
          </w:p>
          <w:p w14:paraId="5D05B167">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拟派本项目的人员的专业匹配及人员岗位配备基</w:t>
            </w:r>
            <w:r>
              <w:rPr>
                <w:rFonts w:hint="eastAsia"/>
                <w:color w:val="auto"/>
                <w:spacing w:val="-8"/>
                <w:sz w:val="21"/>
                <w:szCs w:val="21"/>
                <w:highlight w:val="none"/>
                <w:lang w:eastAsia="zh-CN"/>
              </w:rPr>
              <w:t>本完善、基本合理，经验一般，针对性不强，得</w:t>
            </w:r>
            <w:r>
              <w:rPr>
                <w:rFonts w:hint="eastAsia"/>
                <w:color w:val="auto"/>
                <w:sz w:val="21"/>
                <w:szCs w:val="21"/>
                <w:highlight w:val="none"/>
                <w:lang w:val="en-US" w:eastAsia="zh-CN"/>
              </w:rPr>
              <w:t>3</w:t>
            </w:r>
            <w:r>
              <w:rPr>
                <w:rFonts w:hint="eastAsia"/>
                <w:color w:val="auto"/>
                <w:spacing w:val="-19"/>
                <w:sz w:val="21"/>
                <w:szCs w:val="21"/>
                <w:highlight w:val="none"/>
                <w:lang w:eastAsia="zh-CN"/>
              </w:rPr>
              <w:t>分；</w:t>
            </w:r>
          </w:p>
          <w:p w14:paraId="23983E4B">
            <w:pPr>
              <w:pStyle w:val="22"/>
              <w:spacing w:before="4"/>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拟派本项目的人员的专业匹配及人员岗位配备不</w:t>
            </w:r>
            <w:r>
              <w:rPr>
                <w:rFonts w:hint="eastAsia"/>
                <w:color w:val="auto"/>
                <w:spacing w:val="-8"/>
                <w:sz w:val="21"/>
                <w:szCs w:val="21"/>
                <w:highlight w:val="none"/>
                <w:lang w:eastAsia="zh-CN"/>
              </w:rPr>
              <w:t>够完善、不够合理，不太具有针对性，得</w:t>
            </w:r>
            <w:r>
              <w:rPr>
                <w:rFonts w:hint="eastAsia"/>
                <w:color w:val="auto"/>
                <w:spacing w:val="-8"/>
                <w:sz w:val="21"/>
                <w:szCs w:val="21"/>
                <w:highlight w:val="none"/>
                <w:lang w:val="en-US" w:eastAsia="zh-CN"/>
              </w:rPr>
              <w:t>1</w:t>
            </w:r>
            <w:r>
              <w:rPr>
                <w:rFonts w:hint="eastAsia"/>
                <w:color w:val="auto"/>
                <w:spacing w:val="-19"/>
                <w:sz w:val="21"/>
                <w:szCs w:val="21"/>
                <w:highlight w:val="none"/>
                <w:lang w:eastAsia="zh-CN"/>
              </w:rPr>
              <w:t>分；</w:t>
            </w:r>
          </w:p>
          <w:p w14:paraId="6E69155B">
            <w:pPr>
              <w:pStyle w:val="21"/>
              <w:ind w:firstLine="210" w:firstLineChars="100"/>
              <w:jc w:val="both"/>
              <w:rPr>
                <w:rFonts w:ascii="仿宋" w:hAnsi="仿宋" w:eastAsia="仿宋" w:cs="宋体"/>
                <w:color w:val="000000"/>
                <w:kern w:val="0"/>
                <w:sz w:val="18"/>
                <w:szCs w:val="18"/>
              </w:rPr>
            </w:pPr>
            <w:r>
              <w:rPr>
                <w:rFonts w:hint="eastAsia" w:ascii="宋体" w:hAnsi="宋体" w:cs="宋体"/>
                <w:color w:val="auto"/>
                <w:sz w:val="21"/>
                <w:szCs w:val="21"/>
                <w:highlight w:val="none"/>
              </w:rPr>
              <w:t>不提供不得分。</w:t>
            </w:r>
          </w:p>
        </w:tc>
        <w:tc>
          <w:tcPr>
            <w:tcW w:w="1383" w:type="dxa"/>
            <w:tcBorders>
              <w:top w:val="nil"/>
              <w:left w:val="nil"/>
              <w:bottom w:val="single" w:color="auto" w:sz="4" w:space="0"/>
              <w:right w:val="single" w:color="auto" w:sz="4" w:space="0"/>
            </w:tcBorders>
            <w:vAlign w:val="center"/>
          </w:tcPr>
          <w:p w14:paraId="19B181FB">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14:paraId="684B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right w:val="single" w:color="auto" w:sz="4" w:space="0"/>
            </w:tcBorders>
            <w:vAlign w:val="center"/>
          </w:tcPr>
          <w:p w14:paraId="6CC6A600">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1344" w:type="dxa"/>
            <w:tcBorders>
              <w:top w:val="nil"/>
              <w:left w:val="nil"/>
              <w:bottom w:val="single" w:color="auto" w:sz="4" w:space="0"/>
              <w:right w:val="single" w:color="auto" w:sz="4" w:space="0"/>
            </w:tcBorders>
            <w:vAlign w:val="center"/>
          </w:tcPr>
          <w:p w14:paraId="4F3B8781">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实施方案内容与工作方法（</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14:paraId="304A271D">
            <w:pPr>
              <w:widowControl/>
              <w:spacing w:line="300" w:lineRule="exact"/>
              <w:rPr>
                <w:rFonts w:ascii="仿宋" w:hAnsi="仿宋" w:eastAsia="仿宋" w:cs="宋体"/>
                <w:color w:val="000000"/>
                <w:kern w:val="0"/>
                <w:sz w:val="18"/>
                <w:szCs w:val="18"/>
              </w:rPr>
            </w:pPr>
            <w:r>
              <w:rPr>
                <w:rFonts w:hint="eastAsia" w:ascii="宋体" w:hAnsi="宋体" w:cs="宋体"/>
                <w:color w:val="auto"/>
                <w:sz w:val="21"/>
                <w:szCs w:val="21"/>
                <w:highlight w:val="none"/>
              </w:rPr>
              <w:t>项目实施方案编制思路清晰、目标明确、条理严谨，实施方案对项目结果的最终实现具有良好的支撑性，符合遴选工作任务要求，预期成果及技术路线完备。优秀的，得</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分；良好的，得</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分；一般的，得</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分；较差的，得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0分。</w:t>
            </w:r>
          </w:p>
        </w:tc>
        <w:tc>
          <w:tcPr>
            <w:tcW w:w="1383" w:type="dxa"/>
            <w:tcBorders>
              <w:top w:val="nil"/>
              <w:left w:val="nil"/>
              <w:bottom w:val="single" w:color="auto" w:sz="4" w:space="0"/>
              <w:right w:val="single" w:color="auto" w:sz="4" w:space="0"/>
            </w:tcBorders>
            <w:vAlign w:val="center"/>
          </w:tcPr>
          <w:p w14:paraId="226E2928">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p>
        </w:tc>
      </w:tr>
      <w:tr w14:paraId="3209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14:paraId="59156809">
            <w:pPr>
              <w:spacing w:line="0" w:lineRule="atLeast"/>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6CBBB9E1">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进度保障</w:t>
            </w:r>
            <w:r>
              <w:rPr>
                <w:rFonts w:hint="eastAsia" w:ascii="宋体" w:hAnsi="宋体" w:cs="宋体"/>
                <w:color w:val="auto"/>
                <w:sz w:val="21"/>
                <w:szCs w:val="21"/>
                <w:highlight w:val="none"/>
              </w:rPr>
              <w:t>措施</w:t>
            </w:r>
          </w:p>
          <w:p w14:paraId="6C26A6E2">
            <w:pPr>
              <w:widowControl/>
              <w:spacing w:line="300" w:lineRule="exact"/>
              <w:jc w:val="center"/>
              <w:rPr>
                <w:rFonts w:hint="eastAsia" w:ascii="仿宋" w:hAnsi="仿宋" w:eastAsia="仿宋" w:cs="宋体"/>
                <w:kern w:val="0"/>
                <w:sz w:val="18"/>
                <w:szCs w:val="18"/>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14:paraId="10CB992F">
            <w:pPr>
              <w:widowControl/>
              <w:spacing w:line="300" w:lineRule="exact"/>
              <w:rPr>
                <w:rFonts w:hint="eastAsia" w:ascii="仿宋" w:hAnsi="仿宋" w:eastAsia="仿宋" w:cs="宋体"/>
                <w:color w:val="000000"/>
                <w:kern w:val="0"/>
                <w:sz w:val="18"/>
                <w:szCs w:val="18"/>
              </w:rPr>
            </w:pPr>
            <w:r>
              <w:rPr>
                <w:rFonts w:hint="eastAsia" w:ascii="宋体" w:hAnsi="宋体" w:cs="宋体"/>
                <w:color w:val="auto"/>
                <w:sz w:val="21"/>
                <w:szCs w:val="21"/>
                <w:highlight w:val="none"/>
              </w:rPr>
              <w:t>服务进度保障方案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包含进度计划和进度保障措施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，保证服务按时完成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详细阐述且满足采购实际需求得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分；虽阐述但未贴合实际情况得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分；阐述不清或者不贴合本项目采购需求得0分。</w:t>
            </w:r>
          </w:p>
        </w:tc>
        <w:tc>
          <w:tcPr>
            <w:tcW w:w="1383" w:type="dxa"/>
            <w:tcBorders>
              <w:top w:val="nil"/>
              <w:left w:val="nil"/>
              <w:bottom w:val="single" w:color="auto" w:sz="4" w:space="0"/>
              <w:right w:val="single" w:color="auto" w:sz="4" w:space="0"/>
            </w:tcBorders>
            <w:vAlign w:val="center"/>
          </w:tcPr>
          <w:p w14:paraId="1425C21D">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6BE3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14:paraId="28CA54A8">
            <w:pPr>
              <w:spacing w:line="0" w:lineRule="atLeast"/>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065A2FE0">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服务承诺（</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14:paraId="56A3E14F">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供应商须提供沟通机制，内容包括①服务人员安排②沟通方案，要求有专人定期沟通，配合。优秀的，得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分；良好的，得</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分；一般的，得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分；较差的，得0分。</w:t>
            </w:r>
          </w:p>
        </w:tc>
        <w:tc>
          <w:tcPr>
            <w:tcW w:w="1383" w:type="dxa"/>
            <w:tcBorders>
              <w:top w:val="nil"/>
              <w:left w:val="nil"/>
              <w:bottom w:val="single" w:color="auto" w:sz="4" w:space="0"/>
              <w:right w:val="single" w:color="auto" w:sz="4" w:space="0"/>
            </w:tcBorders>
            <w:vAlign w:val="center"/>
          </w:tcPr>
          <w:p w14:paraId="4E78C81C">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14:paraId="0A78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14:paraId="4E2CD089">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总分</w:t>
            </w:r>
          </w:p>
        </w:tc>
        <w:tc>
          <w:tcPr>
            <w:tcW w:w="1383" w:type="dxa"/>
            <w:tcBorders>
              <w:top w:val="nil"/>
              <w:left w:val="nil"/>
              <w:bottom w:val="single" w:color="auto" w:sz="4" w:space="0"/>
              <w:right w:val="single" w:color="auto" w:sz="4" w:space="0"/>
            </w:tcBorders>
            <w:vAlign w:val="center"/>
          </w:tcPr>
          <w:p w14:paraId="374D8B7C">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bl>
    <w:p w14:paraId="11FFAFBA">
      <w:pPr>
        <w:spacing w:line="360" w:lineRule="auto"/>
        <w:jc w:val="center"/>
        <w:rPr>
          <w:rFonts w:ascii="仿宋" w:hAnsi="仿宋" w:eastAsia="仿宋" w:cs="宋体"/>
          <w:b/>
          <w:bCs/>
          <w:sz w:val="32"/>
          <w:szCs w:val="28"/>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WRmNjFmYzEzYzhmMWVhMmIwZmM1OWViN2MwODc5MDA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332365"/>
    <w:rsid w:val="0F3E1A51"/>
    <w:rsid w:val="28BA4A28"/>
    <w:rsid w:val="2A021EEC"/>
    <w:rsid w:val="473506D4"/>
    <w:rsid w:val="68A51AEC"/>
    <w:rsid w:val="703F07DD"/>
    <w:rsid w:val="7834054B"/>
    <w:rsid w:val="7F9FEDE7"/>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next w:val="1"/>
    <w:semiHidden/>
    <w:unhideWhenUsed/>
    <w:qFormat/>
    <w:uiPriority w:val="99"/>
    <w:pPr>
      <w:spacing w:after="120"/>
      <w:ind w:left="420" w:leftChars="200"/>
    </w:p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8"/>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4"/>
    <w:semiHidden/>
    <w:qFormat/>
    <w:uiPriority w:val="99"/>
  </w:style>
  <w:style w:type="character" w:customStyle="1" w:styleId="18">
    <w:name w:val="批注主题 Char"/>
    <w:basedOn w:val="17"/>
    <w:link w:val="9"/>
    <w:semiHidden/>
    <w:qFormat/>
    <w:uiPriority w:val="99"/>
    <w:rPr>
      <w:b/>
      <w:bCs/>
    </w:rPr>
  </w:style>
  <w:style w:type="character" w:customStyle="1" w:styleId="19">
    <w:name w:val="批注框文本 Char"/>
    <w:basedOn w:val="11"/>
    <w:link w:val="5"/>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 w:type="paragraph" w:customStyle="1" w:styleId="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Table Paragraph"/>
    <w:basedOn w:val="1"/>
    <w:qFormat/>
    <w:uiPriority w:val="1"/>
    <w:pPr>
      <w:adjustRightInd/>
      <w:spacing w:line="240" w:lineRule="auto"/>
      <w:textAlignment w:val="auto"/>
    </w:pPr>
    <w:rPr>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1686</Words>
  <Characters>1715</Characters>
  <Lines>15</Lines>
  <Paragraphs>4</Paragraphs>
  <TotalTime>22</TotalTime>
  <ScaleCrop>false</ScaleCrop>
  <LinksUpToDate>false</LinksUpToDate>
  <CharactersWithSpaces>1716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WPS_1713269349</cp:lastModifiedBy>
  <dcterms:modified xsi:type="dcterms:W3CDTF">2025-05-12T01:51:46Z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E9DF036E6E8A4B939C7F8AAFD271A14B_12</vt:lpwstr>
  </property>
  <property fmtid="{D5CDD505-2E9C-101B-9397-08002B2CF9AE}" pid="4" name="KSOTemplateDocerSaveRecord">
    <vt:lpwstr>eyJoZGlkIjoiMWRmNjFmYzEzYzhmMWVhMmIwZmM1OWViN2MwODc5MDAiLCJ1c2VySWQiOiIxNTkzNzU5MTIyIn0=</vt:lpwstr>
  </property>
</Properties>
</file>