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是否为独立法人</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ascii="仿宋" w:hAnsi="仿宋" w:eastAsia="仿宋" w:cs="宋体"/>
          <w:bCs/>
          <w:sz w:val="28"/>
          <w:szCs w:val="28"/>
        </w:rPr>
      </w:pPr>
      <w:r>
        <w:rPr>
          <w:rFonts w:hint="eastAsia" w:ascii="仿宋" w:hAnsi="仿宋" w:eastAsia="仿宋" w:cs="宋体"/>
          <w:bCs/>
          <w:sz w:val="28"/>
          <w:szCs w:val="28"/>
        </w:rPr>
        <w:t>5、如对本项目进行实质性响应的供应商不足2家但大于等于1家时，项目主办处室决定是否继续进行采购活动或延期遴选文件获取时间及递交申请文件时间。如继续进行采购活动，如评审小组按照遴选文件对供应商的申请文件综合打分不足60分时，项目主办处室可以选择本项目废标。</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6、成交供应商拒绝与采购人签订合同的，采购人可以按照评审报告推荐的成交候选人名单排序，确定下一候选人为成交供应商，也可以重新开展采购活动。</w:t>
      </w: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jc w:val="center"/>
        <w:rPr>
          <w:rFonts w:ascii="仿宋" w:hAnsi="仿宋" w:eastAsia="仿宋" w:cs="宋体"/>
          <w:b/>
          <w:bCs/>
          <w:sz w:val="32"/>
          <w:szCs w:val="28"/>
        </w:rPr>
      </w:pPr>
      <w:commentRangeStart w:id="0"/>
      <w:r>
        <w:rPr>
          <w:rFonts w:ascii="仿宋" w:hAnsi="仿宋" w:eastAsia="仿宋" w:cs="宋体"/>
          <w:b/>
          <w:bCs/>
          <w:sz w:val="32"/>
          <w:szCs w:val="28"/>
        </w:rPr>
        <w:t>评分标准</w:t>
      </w:r>
      <w:commentRangeEnd w:id="0"/>
      <w:r>
        <w:commentReference w:id="0"/>
      </w:r>
    </w:p>
    <w:tbl>
      <w:tblPr>
        <w:tblStyle w:val="10"/>
        <w:tblpPr w:leftFromText="180" w:rightFromText="180" w:vertAnchor="page" w:horzAnchor="page" w:tblpX="1878" w:tblpY="2310"/>
        <w:tblW w:w="8421" w:type="dxa"/>
        <w:tblInd w:w="0" w:type="dxa"/>
        <w:tblLayout w:type="fixed"/>
        <w:tblCellMar>
          <w:top w:w="0" w:type="dxa"/>
          <w:left w:w="57" w:type="dxa"/>
          <w:bottom w:w="0" w:type="dxa"/>
          <w:right w:w="57" w:type="dxa"/>
        </w:tblCellMar>
      </w:tblPr>
      <w:tblGrid>
        <w:gridCol w:w="959"/>
        <w:gridCol w:w="1388"/>
        <w:gridCol w:w="5507"/>
        <w:gridCol w:w="567"/>
      </w:tblGrid>
      <w:tr>
        <w:tblPrEx>
          <w:tblCellMar>
            <w:top w:w="0" w:type="dxa"/>
            <w:left w:w="57" w:type="dxa"/>
            <w:bottom w:w="0" w:type="dxa"/>
            <w:right w:w="57" w:type="dxa"/>
          </w:tblCellMar>
        </w:tblPrEx>
        <w:trPr>
          <w:trHeight w:val="41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内容</w:t>
            </w:r>
          </w:p>
        </w:tc>
        <w:tc>
          <w:tcPr>
            <w:tcW w:w="138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5507"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CellMar>
            <w:top w:w="0" w:type="dxa"/>
            <w:left w:w="57" w:type="dxa"/>
            <w:bottom w:w="0" w:type="dxa"/>
            <w:right w:w="57" w:type="dxa"/>
          </w:tblCellMar>
        </w:tblPrEx>
        <w:trPr>
          <w:trHeight w:val="675" w:hRule="atLeast"/>
        </w:trPr>
        <w:tc>
          <w:tcPr>
            <w:tcW w:w="959"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5507"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CellMar>
            <w:top w:w="0" w:type="dxa"/>
            <w:left w:w="57" w:type="dxa"/>
            <w:bottom w:w="0" w:type="dxa"/>
            <w:right w:w="57" w:type="dxa"/>
          </w:tblCellMar>
        </w:tblPrEx>
        <w:trPr>
          <w:trHeight w:val="525" w:hRule="atLeast"/>
        </w:trPr>
        <w:tc>
          <w:tcPr>
            <w:tcW w:w="959"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567" w:type="dxa"/>
            <w:tcBorders>
              <w:top w:val="nil"/>
              <w:left w:val="nil"/>
              <w:bottom w:val="single" w:color="auto" w:sz="4" w:space="0"/>
              <w:right w:val="single" w:color="auto" w:sz="4" w:space="0"/>
            </w:tcBorders>
            <w:vAlign w:val="center"/>
          </w:tcPr>
          <w:p>
            <w:pPr>
              <w:widowControl/>
              <w:ind w:left="1" w:leftChars="-60" w:hanging="127" w:hangingChars="71"/>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CellMar>
            <w:top w:w="0" w:type="dxa"/>
            <w:left w:w="57" w:type="dxa"/>
            <w:bottom w:w="0" w:type="dxa"/>
            <w:right w:w="57" w:type="dxa"/>
          </w:tblCellMar>
        </w:tblPrEx>
        <w:trPr>
          <w:trHeight w:val="1035" w:hRule="atLeast"/>
        </w:trPr>
        <w:tc>
          <w:tcPr>
            <w:tcW w:w="9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供应商近三年（202</w:t>
            </w:r>
            <w:r>
              <w:rPr>
                <w:rFonts w:hint="eastAsia" w:ascii="仿宋" w:hAnsi="仿宋" w:eastAsia="仿宋" w:cs="宋体"/>
                <w:color w:val="000000"/>
                <w:kern w:val="0"/>
                <w:sz w:val="18"/>
                <w:szCs w:val="18"/>
                <w:lang w:val="en-US" w:eastAsia="zh-CN"/>
              </w:rPr>
              <w:t>2</w:t>
            </w:r>
            <w:bookmarkStart w:id="0" w:name="_GoBack"/>
            <w:bookmarkEnd w:id="0"/>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CellMar>
            <w:top w:w="0" w:type="dxa"/>
            <w:left w:w="57" w:type="dxa"/>
            <w:bottom w:w="0" w:type="dxa"/>
            <w:right w:w="57" w:type="dxa"/>
          </w:tblCellMar>
        </w:tblPrEx>
        <w:trPr>
          <w:trHeight w:val="810" w:hRule="atLeast"/>
        </w:trPr>
        <w:tc>
          <w:tcPr>
            <w:tcW w:w="959"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整体方案设计及工作流程计划：</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CellMar>
            <w:top w:w="0" w:type="dxa"/>
            <w:left w:w="57" w:type="dxa"/>
            <w:bottom w:w="0" w:type="dxa"/>
            <w:right w:w="57" w:type="dxa"/>
          </w:tblCellMar>
        </w:tblPrEx>
        <w:trPr>
          <w:trHeight w:val="810" w:hRule="atLeast"/>
        </w:trPr>
        <w:tc>
          <w:tcPr>
            <w:tcW w:w="959" w:type="dxa"/>
            <w:vMerge w:val="continue"/>
            <w:tcBorders>
              <w:left w:val="single" w:color="auto" w:sz="4" w:space="0"/>
              <w:right w:val="single" w:color="auto" w:sz="4" w:space="0"/>
            </w:tcBorders>
            <w:vAlign w:val="center"/>
          </w:tcPr>
          <w:p>
            <w:pPr>
              <w:widowControl/>
              <w:jc w:val="center"/>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需求理解</w:t>
            </w:r>
          </w:p>
          <w:p>
            <w:pPr>
              <w:widowControl/>
              <w:jc w:val="center"/>
              <w:rPr>
                <w:rFonts w:ascii="仿宋" w:hAnsi="仿宋" w:eastAsia="仿宋" w:cs="宋体"/>
                <w:kern w:val="0"/>
                <w:sz w:val="18"/>
                <w:szCs w:val="18"/>
              </w:rPr>
            </w:pPr>
            <w:r>
              <w:rPr>
                <w:rFonts w:hint="eastAsia" w:ascii="仿宋" w:hAnsi="仿宋" w:eastAsia="仿宋" w:cs="宋体"/>
                <w:kern w:val="0"/>
                <w:sz w:val="18"/>
                <w:szCs w:val="18"/>
              </w:rPr>
              <w:t>和分析</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CellMar>
            <w:top w:w="0" w:type="dxa"/>
            <w:left w:w="57" w:type="dxa"/>
            <w:bottom w:w="0" w:type="dxa"/>
            <w:right w:w="57" w:type="dxa"/>
          </w:tblCellMar>
        </w:tblPrEx>
        <w:trPr>
          <w:trHeight w:val="2415" w:hRule="atLeast"/>
        </w:trPr>
        <w:tc>
          <w:tcPr>
            <w:tcW w:w="9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项目人员配备方案</w:t>
            </w:r>
          </w:p>
        </w:tc>
        <w:tc>
          <w:tcPr>
            <w:tcW w:w="5507" w:type="dxa"/>
            <w:tcBorders>
              <w:top w:val="nil"/>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CellMar>
            <w:top w:w="0" w:type="dxa"/>
            <w:left w:w="57" w:type="dxa"/>
            <w:bottom w:w="0" w:type="dxa"/>
            <w:right w:w="57" w:type="dxa"/>
          </w:tblCellMar>
        </w:tblPrEx>
        <w:trPr>
          <w:trHeight w:val="810" w:hRule="atLeast"/>
        </w:trPr>
        <w:tc>
          <w:tcPr>
            <w:tcW w:w="9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对项目管理、质量保证制度和承诺进行阐述，有具体方案及措施描述，完全贴合项目需求得11-15分；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对项目管理、质量保证制度和承诺进行阐述，贴合项目需求，但缺少具体方案及措施描述得6-10分；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对项目管理、质量保证制度和承诺，部分贴合项目需求，得1-5 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CellMar>
            <w:top w:w="0" w:type="dxa"/>
            <w:left w:w="57" w:type="dxa"/>
            <w:bottom w:w="0" w:type="dxa"/>
            <w:right w:w="57" w:type="dxa"/>
          </w:tblCellMar>
        </w:tblPrEx>
        <w:trPr>
          <w:trHeight w:val="900" w:hRule="atLeast"/>
        </w:trPr>
        <w:tc>
          <w:tcPr>
            <w:tcW w:w="9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kern w:val="0"/>
                <w:sz w:val="18"/>
                <w:szCs w:val="18"/>
              </w:rPr>
            </w:pPr>
            <w:r>
              <w:rPr>
                <w:rFonts w:hint="eastAsia" w:ascii="仿宋" w:hAnsi="仿宋" w:eastAsia="仿宋"/>
                <w:kern w:val="0"/>
                <w:sz w:val="18"/>
                <w:szCs w:val="18"/>
              </w:rPr>
              <w:t>供应商须提供沟通机制，内容包括①服务人员安排②沟通方案，要求有专人定期沟通，配合。优秀的，得</w:t>
            </w:r>
            <w:r>
              <w:rPr>
                <w:rFonts w:ascii="仿宋" w:hAnsi="仿宋" w:eastAsia="仿宋"/>
                <w:kern w:val="0"/>
                <w:sz w:val="18"/>
                <w:szCs w:val="18"/>
              </w:rPr>
              <w:t>7-10</w:t>
            </w:r>
            <w:r>
              <w:rPr>
                <w:rFonts w:hint="eastAsia" w:ascii="仿宋" w:hAnsi="仿宋" w:eastAsia="仿宋"/>
                <w:kern w:val="0"/>
                <w:sz w:val="18"/>
                <w:szCs w:val="18"/>
              </w:rPr>
              <w:t>分；良好的，得</w:t>
            </w:r>
            <w:r>
              <w:rPr>
                <w:rFonts w:ascii="仿宋" w:hAnsi="仿宋" w:eastAsia="仿宋"/>
                <w:kern w:val="0"/>
                <w:sz w:val="18"/>
                <w:szCs w:val="18"/>
              </w:rPr>
              <w:t>4-6</w:t>
            </w:r>
            <w:r>
              <w:rPr>
                <w:rFonts w:hint="eastAsia" w:ascii="仿宋" w:hAnsi="仿宋" w:eastAsia="仿宋"/>
                <w:kern w:val="0"/>
                <w:sz w:val="18"/>
                <w:szCs w:val="18"/>
              </w:rPr>
              <w:t>分；一般的，得</w:t>
            </w:r>
            <w:r>
              <w:rPr>
                <w:rFonts w:ascii="仿宋" w:hAnsi="仿宋" w:eastAsia="仿宋"/>
                <w:kern w:val="0"/>
                <w:sz w:val="18"/>
                <w:szCs w:val="18"/>
              </w:rPr>
              <w:t>1-3</w:t>
            </w:r>
            <w:r>
              <w:rPr>
                <w:rFonts w:hint="eastAsia" w:ascii="仿宋" w:hAnsi="仿宋" w:eastAsia="仿宋"/>
                <w:kern w:val="0"/>
                <w:sz w:val="18"/>
                <w:szCs w:val="18"/>
              </w:rPr>
              <w:t>分；较差的，得</w:t>
            </w:r>
            <w:r>
              <w:rPr>
                <w:rFonts w:ascii="仿宋" w:hAnsi="仿宋" w:eastAsia="仿宋"/>
                <w:kern w:val="0"/>
                <w:sz w:val="18"/>
                <w:szCs w:val="18"/>
              </w:rPr>
              <w:t>0</w:t>
            </w:r>
            <w:r>
              <w:rPr>
                <w:rFonts w:hint="eastAsia" w:ascii="仿宋" w:hAnsi="仿宋" w:eastAsia="仿宋"/>
                <w:kern w:val="0"/>
                <w:sz w:val="18"/>
                <w:szCs w:val="18"/>
              </w:rPr>
              <w:t>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CellMar>
            <w:top w:w="0" w:type="dxa"/>
            <w:left w:w="57" w:type="dxa"/>
            <w:bottom w:w="0" w:type="dxa"/>
            <w:right w:w="57" w:type="dxa"/>
          </w:tblCellMar>
        </w:tblPrEx>
        <w:trPr>
          <w:trHeight w:val="491" w:hRule="atLeast"/>
        </w:trPr>
        <w:tc>
          <w:tcPr>
            <w:tcW w:w="7854"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rPr>
          <w:rFonts w:hint="eastAsia" w:ascii="仿宋" w:hAnsi="仿宋" w:eastAsia="仿宋" w:cs="宋体"/>
          <w:b/>
          <w:bCs/>
          <w:sz w:val="10"/>
          <w:szCs w:val="10"/>
        </w:rPr>
      </w:pPr>
    </w:p>
    <w:sectPr>
      <w:pgSz w:w="11906" w:h="16838"/>
      <w:pgMar w:top="1440" w:right="1797" w:bottom="1440" w:left="179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4-02-22T16:02:00Z" w:initials="a">
    <w:p w14:paraId="7FD64D13">
      <w:pPr>
        <w:pStyle w:val="2"/>
      </w:pPr>
      <w:r>
        <w:rPr>
          <w:rFonts w:hint="eastAsia"/>
        </w:rPr>
        <w:t>仅供参考，应根据各项目需求进行修改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D64D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99485C"/>
    <w:rsid w:val="000A22BF"/>
    <w:rsid w:val="00180201"/>
    <w:rsid w:val="00193EAA"/>
    <w:rsid w:val="001D2469"/>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8A3BCF"/>
    <w:rsid w:val="0099485C"/>
    <w:rsid w:val="00B33D64"/>
    <w:rsid w:val="00B927D3"/>
    <w:rsid w:val="00BA4C9E"/>
    <w:rsid w:val="00CA49E3"/>
    <w:rsid w:val="00D875C2"/>
    <w:rsid w:val="00DB1122"/>
    <w:rsid w:val="00DE7EC6"/>
    <w:rsid w:val="00FF1677"/>
    <w:rsid w:val="0185358B"/>
    <w:rsid w:val="28BA4A28"/>
    <w:rsid w:val="2A021EEC"/>
    <w:rsid w:val="473506D4"/>
    <w:rsid w:val="68954478"/>
    <w:rsid w:val="68A51AEC"/>
    <w:rsid w:val="7834054B"/>
    <w:rsid w:val="8FBF5384"/>
    <w:rsid w:val="DFBA1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unhideWhenUsed/>
    <w:qFormat/>
    <w:uiPriority w:val="99"/>
    <w:rPr>
      <w:b/>
      <w:bCs/>
    </w:rPr>
  </w:style>
  <w:style w:type="paragraph" w:styleId="9">
    <w:name w:val="Body Text First Indent 2"/>
    <w:basedOn w:val="3"/>
    <w:next w:val="1"/>
    <w:qFormat/>
    <w:uiPriority w:val="0"/>
    <w:pPr>
      <w:ind w:firstLine="420" w:firstLineChars="200"/>
    </w:p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7"/>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2"/>
    <w:semiHidden/>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290</Words>
  <Characters>1656</Characters>
  <Lines>13</Lines>
  <Paragraphs>3</Paragraphs>
  <TotalTime>21</TotalTime>
  <ScaleCrop>false</ScaleCrop>
  <LinksUpToDate>false</LinksUpToDate>
  <CharactersWithSpaces>1943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2022-04-19T04:00:00Z</dcterms:created>
  <dc:creator>强文晓</dc:creator>
  <cp:lastModifiedBy>admin</cp:lastModifiedBy>
  <dcterms:modified xsi:type="dcterms:W3CDTF">2025-05-15T08:59:45Z</dcterms:modified>
  <dc:title>申请人须知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C7FD7E497E544EA78F0EE041557A40BF_13</vt:lpwstr>
  </property>
</Properties>
</file>