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DDF27">
      <w:pPr>
        <w:keepNext w:val="0"/>
        <w:keepLines w:val="0"/>
        <w:pageBreakBefore w:val="0"/>
        <w:widowControl w:val="0"/>
        <w:kinsoku/>
        <w:overflowPunct/>
        <w:bidi w:val="0"/>
        <w:snapToGrid w:val="0"/>
        <w:spacing w:line="300" w:lineRule="auto"/>
        <w:ind w:firstLine="1687"/>
        <w:jc w:val="center"/>
        <w:rPr>
          <w:rFonts w:ascii="Times New Roman" w:hAnsi="Times New Roman"/>
          <w:b/>
          <w:color w:val="000000" w:themeColor="text1"/>
          <w:kern w:val="0"/>
          <w:sz w:val="84"/>
          <w:szCs w:val="84"/>
          <w:highlight w:val="none"/>
          <w14:textFill>
            <w14:solidFill>
              <w14:schemeClr w14:val="tx1"/>
            </w14:solidFill>
          </w14:textFill>
        </w:rPr>
      </w:pPr>
    </w:p>
    <w:p w14:paraId="333BC501">
      <w:pPr>
        <w:keepNext w:val="0"/>
        <w:keepLines w:val="0"/>
        <w:pageBreakBefore w:val="0"/>
        <w:widowControl w:val="0"/>
        <w:kinsoku/>
        <w:overflowPunct/>
        <w:bidi w:val="0"/>
        <w:snapToGrid w:val="0"/>
        <w:spacing w:line="300" w:lineRule="auto"/>
        <w:ind w:firstLine="1687"/>
        <w:jc w:val="center"/>
        <w:rPr>
          <w:rFonts w:hint="eastAsia" w:ascii="Times New Roman" w:hAnsi="Times New Roman"/>
          <w:b/>
          <w:color w:val="000000" w:themeColor="text1"/>
          <w:kern w:val="0"/>
          <w:sz w:val="84"/>
          <w:szCs w:val="84"/>
          <w:highlight w:val="none"/>
          <w14:textFill>
            <w14:solidFill>
              <w14:schemeClr w14:val="tx1"/>
            </w14:solidFill>
          </w14:textFill>
        </w:rPr>
      </w:pPr>
    </w:p>
    <w:p w14:paraId="3D68DC65">
      <w:pPr>
        <w:keepNext w:val="0"/>
        <w:keepLines w:val="0"/>
        <w:pageBreakBefore w:val="0"/>
        <w:widowControl w:val="0"/>
        <w:kinsoku/>
        <w:overflowPunct/>
        <w:bidi w:val="0"/>
        <w:snapToGrid w:val="0"/>
        <w:spacing w:line="300" w:lineRule="auto"/>
        <w:ind w:firstLine="1687"/>
        <w:jc w:val="center"/>
        <w:rPr>
          <w:rFonts w:hint="eastAsia" w:ascii="Times New Roman" w:hAnsi="Times New Roman"/>
          <w:b/>
          <w:color w:val="000000" w:themeColor="text1"/>
          <w:kern w:val="0"/>
          <w:sz w:val="84"/>
          <w:szCs w:val="84"/>
          <w:highlight w:val="none"/>
          <w14:textFill>
            <w14:solidFill>
              <w14:schemeClr w14:val="tx1"/>
            </w14:solidFill>
          </w14:textFill>
        </w:rPr>
      </w:pPr>
    </w:p>
    <w:p w14:paraId="65DCDE63">
      <w:pPr>
        <w:keepNext w:val="0"/>
        <w:keepLines w:val="0"/>
        <w:pageBreakBefore w:val="0"/>
        <w:widowControl w:val="0"/>
        <w:kinsoku/>
        <w:overflowPunct/>
        <w:bidi w:val="0"/>
        <w:snapToGrid w:val="0"/>
        <w:spacing w:line="300" w:lineRule="auto"/>
        <w:jc w:val="center"/>
        <w:rPr>
          <w:rFonts w:ascii="Times New Roman" w:hAnsi="Times New Roman"/>
          <w:b/>
          <w:color w:val="000000" w:themeColor="text1"/>
          <w:kern w:val="0"/>
          <w:sz w:val="84"/>
          <w:szCs w:val="84"/>
          <w:highlight w:val="none"/>
          <w14:textFill>
            <w14:solidFill>
              <w14:schemeClr w14:val="tx1"/>
            </w14:solidFill>
          </w14:textFill>
        </w:rPr>
      </w:pPr>
      <w:r>
        <w:rPr>
          <w:rFonts w:hint="eastAsia" w:ascii="Times New Roman" w:hAnsi="Times New Roman"/>
          <w:b/>
          <w:color w:val="000000" w:themeColor="text1"/>
          <w:kern w:val="0"/>
          <w:sz w:val="84"/>
          <w:szCs w:val="84"/>
          <w:highlight w:val="none"/>
          <w:lang w:val="en-US" w:eastAsia="zh-CN"/>
          <w14:textFill>
            <w14:solidFill>
              <w14:schemeClr w14:val="tx1"/>
            </w14:solidFill>
          </w14:textFill>
        </w:rPr>
        <w:t>服务</w:t>
      </w:r>
      <w:r>
        <w:rPr>
          <w:rFonts w:ascii="Times New Roman" w:hAnsi="Times New Roman"/>
          <w:b/>
          <w:color w:val="000000" w:themeColor="text1"/>
          <w:kern w:val="0"/>
          <w:sz w:val="84"/>
          <w:szCs w:val="84"/>
          <w:highlight w:val="none"/>
          <w14:textFill>
            <w14:solidFill>
              <w14:schemeClr w14:val="tx1"/>
            </w14:solidFill>
          </w14:textFill>
        </w:rPr>
        <w:t>类</w:t>
      </w:r>
    </w:p>
    <w:p w14:paraId="1607ECBC">
      <w:pPr>
        <w:keepNext w:val="0"/>
        <w:keepLines w:val="0"/>
        <w:pageBreakBefore w:val="0"/>
        <w:widowControl w:val="0"/>
        <w:kinsoku/>
        <w:overflowPunct/>
        <w:bidi w:val="0"/>
        <w:snapToGrid w:val="0"/>
        <w:spacing w:line="300" w:lineRule="auto"/>
        <w:jc w:val="center"/>
        <w:rPr>
          <w:rFonts w:ascii="Times New Roman" w:hAnsi="Times New Roman"/>
          <w:b/>
          <w:color w:val="000000" w:themeColor="text1"/>
          <w:kern w:val="0"/>
          <w:sz w:val="84"/>
          <w:szCs w:val="84"/>
          <w:highlight w:val="none"/>
          <w14:textFill>
            <w14:solidFill>
              <w14:schemeClr w14:val="tx1"/>
            </w14:solidFill>
          </w14:textFill>
        </w:rPr>
      </w:pPr>
      <w:r>
        <w:rPr>
          <w:rFonts w:ascii="Times New Roman" w:hAnsi="Times New Roman"/>
          <w:b/>
          <w:color w:val="000000" w:themeColor="text1"/>
          <w:kern w:val="0"/>
          <w:sz w:val="84"/>
          <w:szCs w:val="84"/>
          <w:highlight w:val="none"/>
          <w14:textFill>
            <w14:solidFill>
              <w14:schemeClr w14:val="tx1"/>
            </w14:solidFill>
          </w14:textFill>
        </w:rPr>
        <w:t>招标文件</w:t>
      </w:r>
    </w:p>
    <w:p w14:paraId="184B2F7F">
      <w:pPr>
        <w:keepNext w:val="0"/>
        <w:keepLines w:val="0"/>
        <w:pageBreakBefore w:val="0"/>
        <w:widowControl w:val="0"/>
        <w:kinsoku/>
        <w:overflowPunct/>
        <w:bidi w:val="0"/>
        <w:snapToGrid w:val="0"/>
        <w:spacing w:line="300" w:lineRule="auto"/>
        <w:ind w:firstLine="1400" w:firstLineChars="500"/>
        <w:jc w:val="left"/>
        <w:rPr>
          <w:rFonts w:ascii="Times New Roman" w:hAnsi="Times New Roman"/>
          <w:color w:val="000000" w:themeColor="text1"/>
          <w:kern w:val="0"/>
          <w:sz w:val="28"/>
          <w:highlight w:val="none"/>
          <w14:textFill>
            <w14:solidFill>
              <w14:schemeClr w14:val="tx1"/>
            </w14:solidFill>
          </w14:textFill>
        </w:rPr>
      </w:pPr>
    </w:p>
    <w:p w14:paraId="05E5081D">
      <w:pPr>
        <w:keepNext w:val="0"/>
        <w:keepLines w:val="0"/>
        <w:pageBreakBefore w:val="0"/>
        <w:widowControl w:val="0"/>
        <w:kinsoku/>
        <w:overflowPunct/>
        <w:bidi w:val="0"/>
        <w:snapToGrid w:val="0"/>
        <w:spacing w:line="300" w:lineRule="auto"/>
        <w:ind w:firstLine="560"/>
        <w:jc w:val="center"/>
        <w:rPr>
          <w:rFonts w:ascii="Times New Roman" w:hAnsi="Times New Roman"/>
          <w:color w:val="000000" w:themeColor="text1"/>
          <w:kern w:val="0"/>
          <w:sz w:val="28"/>
          <w:highlight w:val="none"/>
          <w14:textFill>
            <w14:solidFill>
              <w14:schemeClr w14:val="tx1"/>
            </w14:solidFill>
          </w14:textFill>
        </w:rPr>
      </w:pPr>
    </w:p>
    <w:p w14:paraId="0E2A31EE">
      <w:pPr>
        <w:keepNext w:val="0"/>
        <w:keepLines w:val="0"/>
        <w:pageBreakBefore w:val="0"/>
        <w:widowControl w:val="0"/>
        <w:kinsoku/>
        <w:overflowPunct/>
        <w:bidi w:val="0"/>
        <w:snapToGrid w:val="0"/>
        <w:spacing w:line="300" w:lineRule="auto"/>
        <w:ind w:firstLine="1120" w:firstLineChars="400"/>
        <w:jc w:val="left"/>
        <w:rPr>
          <w:rFonts w:ascii="Times New Roman" w:hAnsi="Times New Roman"/>
          <w:color w:val="000000" w:themeColor="text1"/>
          <w:sz w:val="28"/>
          <w:szCs w:val="28"/>
          <w:highlight w:val="none"/>
          <w14:textFill>
            <w14:solidFill>
              <w14:schemeClr w14:val="tx1"/>
            </w14:solidFill>
          </w14:textFill>
        </w:rPr>
      </w:pPr>
    </w:p>
    <w:p w14:paraId="02D42D13">
      <w:pPr>
        <w:keepNext w:val="0"/>
        <w:keepLines w:val="0"/>
        <w:pageBreakBefore w:val="0"/>
        <w:widowControl w:val="0"/>
        <w:kinsoku/>
        <w:overflowPunct/>
        <w:bidi w:val="0"/>
        <w:spacing w:line="480" w:lineRule="auto"/>
        <w:ind w:left="2238" w:leftChars="304" w:hanging="1600" w:hangingChars="500"/>
        <w:jc w:val="left"/>
        <w:rPr>
          <w:rFonts w:hint="eastAsia" w:ascii="Times New Roman" w:hAnsi="Times New Roman"/>
          <w:color w:val="000000" w:themeColor="text1"/>
          <w:sz w:val="32"/>
          <w:szCs w:val="32"/>
          <w:highlight w:val="none"/>
          <w:lang w:eastAsia="zh-CN"/>
          <w14:textFill>
            <w14:solidFill>
              <w14:schemeClr w14:val="tx1"/>
            </w14:solidFill>
          </w14:textFill>
        </w:rPr>
      </w:pPr>
      <w:r>
        <w:rPr>
          <w:rFonts w:ascii="Times New Roman" w:hAnsi="Times New Roman"/>
          <w:color w:val="000000" w:themeColor="text1"/>
          <w:sz w:val="32"/>
          <w:szCs w:val="32"/>
          <w:highlight w:val="none"/>
          <w14:textFill>
            <w14:solidFill>
              <w14:schemeClr w14:val="tx1"/>
            </w14:solidFill>
          </w14:textFill>
        </w:rPr>
        <w:t>项目名称：</w:t>
      </w:r>
      <w:r>
        <w:rPr>
          <w:rFonts w:hint="eastAsia" w:ascii="Times New Roman" w:hAnsi="Times New Roman"/>
          <w:color w:val="000000" w:themeColor="text1"/>
          <w:sz w:val="32"/>
          <w:szCs w:val="32"/>
          <w:highlight w:val="none"/>
          <w:lang w:eastAsia="zh-CN"/>
          <w14:textFill>
            <w14:solidFill>
              <w14:schemeClr w14:val="tx1"/>
            </w14:solidFill>
          </w14:textFill>
        </w:rPr>
        <w:t>太原市DRG支付方式改革第三方服务项目</w:t>
      </w:r>
    </w:p>
    <w:p w14:paraId="19D5783E">
      <w:pPr>
        <w:keepNext w:val="0"/>
        <w:keepLines w:val="0"/>
        <w:pageBreakBefore w:val="0"/>
        <w:widowControl w:val="0"/>
        <w:kinsoku/>
        <w:overflowPunct/>
        <w:bidi w:val="0"/>
        <w:spacing w:line="480" w:lineRule="auto"/>
        <w:ind w:left="2238" w:leftChars="304" w:hanging="1600" w:hangingChars="500"/>
        <w:jc w:val="left"/>
        <w:rPr>
          <w:rFonts w:hint="eastAsia" w:ascii="Times New Roman" w:hAnsi="Times New Roman"/>
          <w:color w:val="000000" w:themeColor="text1"/>
          <w:sz w:val="32"/>
          <w:szCs w:val="32"/>
          <w:highlight w:val="none"/>
          <w:lang w:eastAsia="zh-CN"/>
          <w14:textFill>
            <w14:solidFill>
              <w14:schemeClr w14:val="tx1"/>
            </w14:solidFill>
          </w14:textFill>
        </w:rPr>
      </w:pPr>
      <w:r>
        <w:rPr>
          <w:rFonts w:hint="eastAsia" w:ascii="Times New Roman" w:hAnsi="Times New Roman"/>
          <w:color w:val="000000" w:themeColor="text1"/>
          <w:sz w:val="32"/>
          <w:szCs w:val="32"/>
          <w:highlight w:val="none"/>
          <w:lang w:eastAsia="zh-CN"/>
          <w14:textFill>
            <w14:solidFill>
              <w14:schemeClr w14:val="tx1"/>
            </w14:solidFill>
          </w14:textFill>
        </w:rPr>
        <w:t>项目编号：1401992025CGK00323</w:t>
      </w:r>
    </w:p>
    <w:p w14:paraId="0DA6EF47">
      <w:pPr>
        <w:pStyle w:val="21"/>
        <w:keepNext w:val="0"/>
        <w:keepLines w:val="0"/>
        <w:pageBreakBefore w:val="0"/>
        <w:widowControl w:val="0"/>
        <w:kinsoku/>
        <w:overflowPunct/>
        <w:bidi w:val="0"/>
        <w:spacing w:line="480" w:lineRule="auto"/>
        <w:ind w:firstLine="280"/>
        <w:rPr>
          <w:rFonts w:hint="eastAsia" w:ascii="Times New Roman" w:hAnsi="Times New Roman"/>
          <w:color w:val="000000" w:themeColor="text1"/>
          <w:kern w:val="0"/>
          <w:sz w:val="28"/>
          <w:highlight w:val="none"/>
          <w14:textFill>
            <w14:solidFill>
              <w14:schemeClr w14:val="tx1"/>
            </w14:solidFill>
          </w14:textFill>
        </w:rPr>
      </w:pPr>
    </w:p>
    <w:p w14:paraId="1EAE5FB4">
      <w:pPr>
        <w:keepNext w:val="0"/>
        <w:keepLines w:val="0"/>
        <w:pageBreakBefore w:val="0"/>
        <w:widowControl w:val="0"/>
        <w:kinsoku/>
        <w:overflowPunct/>
        <w:bidi w:val="0"/>
        <w:rPr>
          <w:highlight w:val="none"/>
        </w:rPr>
      </w:pPr>
    </w:p>
    <w:p w14:paraId="58BBAE92">
      <w:pPr>
        <w:keepNext w:val="0"/>
        <w:keepLines w:val="0"/>
        <w:pageBreakBefore w:val="0"/>
        <w:widowControl w:val="0"/>
        <w:kinsoku/>
        <w:overflowPunct/>
        <w:bidi w:val="0"/>
        <w:spacing w:line="480" w:lineRule="auto"/>
        <w:ind w:firstLine="420"/>
        <w:rPr>
          <w:color w:val="000000" w:themeColor="text1"/>
          <w:highlight w:val="none"/>
          <w14:textFill>
            <w14:solidFill>
              <w14:schemeClr w14:val="tx1"/>
            </w14:solidFill>
          </w14:textFill>
        </w:rPr>
      </w:pPr>
    </w:p>
    <w:p w14:paraId="0E4DBDA0">
      <w:pPr>
        <w:keepNext w:val="0"/>
        <w:keepLines w:val="0"/>
        <w:pageBreakBefore w:val="0"/>
        <w:widowControl w:val="0"/>
        <w:kinsoku/>
        <w:overflowPunct/>
        <w:bidi w:val="0"/>
        <w:snapToGrid w:val="0"/>
        <w:spacing w:line="480" w:lineRule="auto"/>
        <w:ind w:firstLine="562" w:firstLineChars="200"/>
        <w:jc w:val="left"/>
        <w:rPr>
          <w:rFonts w:hint="eastAsia" w:ascii="Times New Roman" w:hAnsi="Times New Roman" w:eastAsia="宋体"/>
          <w:b/>
          <w:bCs/>
          <w:color w:val="000000" w:themeColor="text1"/>
          <w:sz w:val="28"/>
          <w:szCs w:val="28"/>
          <w:highlight w:val="none"/>
          <w:lang w:eastAsia="zh-CN"/>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采   购   人：</w:t>
      </w:r>
      <w:r>
        <w:rPr>
          <w:rFonts w:hint="eastAsia" w:ascii="Times New Roman" w:hAnsi="Times New Roman"/>
          <w:b/>
          <w:bCs/>
          <w:color w:val="000000" w:themeColor="text1"/>
          <w:sz w:val="28"/>
          <w:szCs w:val="28"/>
          <w:highlight w:val="none"/>
          <w:lang w:eastAsia="zh-CN"/>
          <w14:textFill>
            <w14:solidFill>
              <w14:schemeClr w14:val="tx1"/>
            </w14:solidFill>
          </w14:textFill>
        </w:rPr>
        <w:t>太原市医疗保障局</w:t>
      </w:r>
    </w:p>
    <w:p w14:paraId="12656400">
      <w:pPr>
        <w:keepNext w:val="0"/>
        <w:keepLines w:val="0"/>
        <w:pageBreakBefore w:val="0"/>
        <w:widowControl w:val="0"/>
        <w:kinsoku/>
        <w:overflowPunct/>
        <w:bidi w:val="0"/>
        <w:snapToGrid w:val="0"/>
        <w:spacing w:line="480" w:lineRule="auto"/>
        <w:ind w:firstLine="562" w:firstLineChars="200"/>
        <w:jc w:val="left"/>
        <w:rPr>
          <w:rFonts w:ascii="Times New Roman" w:hAnsi="Times New Roman"/>
          <w:b/>
          <w:bCs/>
          <w:color w:val="000000" w:themeColor="text1"/>
          <w:sz w:val="28"/>
          <w:szCs w:val="28"/>
          <w:highlight w:val="none"/>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采购代理机构：</w:t>
      </w:r>
      <w:r>
        <w:rPr>
          <w:rFonts w:hint="eastAsia" w:ascii="Times New Roman" w:hAnsi="Times New Roman"/>
          <w:b/>
          <w:bCs/>
          <w:color w:val="000000" w:themeColor="text1"/>
          <w:sz w:val="28"/>
          <w:szCs w:val="28"/>
          <w:highlight w:val="none"/>
          <w:lang w:val="en-US" w:eastAsia="zh-CN"/>
          <w14:textFill>
            <w14:solidFill>
              <w14:schemeClr w14:val="tx1"/>
            </w14:solidFill>
          </w14:textFill>
        </w:rPr>
        <w:t>太原市宜达科技服务有限公司</w:t>
      </w:r>
      <w:r>
        <w:rPr>
          <w:rFonts w:ascii="Times New Roman" w:hAnsi="Times New Roman"/>
          <w:b/>
          <w:bCs/>
          <w:color w:val="000000" w:themeColor="text1"/>
          <w:sz w:val="28"/>
          <w:szCs w:val="28"/>
          <w:highlight w:val="none"/>
          <w14:textFill>
            <w14:solidFill>
              <w14:schemeClr w14:val="tx1"/>
            </w14:solidFill>
          </w14:textFill>
        </w:rPr>
        <w:t xml:space="preserve">   </w:t>
      </w:r>
    </w:p>
    <w:p w14:paraId="5B763D9C">
      <w:pPr>
        <w:keepNext w:val="0"/>
        <w:keepLines w:val="0"/>
        <w:pageBreakBefore w:val="0"/>
        <w:widowControl w:val="0"/>
        <w:kinsoku/>
        <w:overflowPunct/>
        <w:bidi w:val="0"/>
        <w:snapToGrid w:val="0"/>
        <w:spacing w:line="480" w:lineRule="auto"/>
        <w:ind w:firstLine="562" w:firstLineChars="200"/>
        <w:rPr>
          <w:rFonts w:hint="eastAsia" w:ascii="Times New Roman" w:hAnsi="Times New Roman" w:eastAsia="宋体" w:cs="Times New Roman"/>
          <w:b/>
          <w:bCs/>
          <w:color w:val="000000" w:themeColor="text1"/>
          <w:sz w:val="28"/>
          <w:szCs w:val="28"/>
          <w:highlight w:val="none"/>
          <w:lang w:val="en-US" w:eastAsia="zh-CN"/>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日        期：</w:t>
      </w:r>
      <w:r>
        <w:rPr>
          <w:rFonts w:hint="eastAsia" w:ascii="Times New Roman" w:hAnsi="Times New Roman" w:eastAsia="宋体" w:cs="Times New Roman"/>
          <w:b/>
          <w:bCs/>
          <w:color w:val="000000" w:themeColor="text1"/>
          <w:sz w:val="28"/>
          <w:szCs w:val="28"/>
          <w:highlight w:val="none"/>
          <w:lang w:val="en-US" w:eastAsia="zh-CN"/>
          <w14:textFill>
            <w14:solidFill>
              <w14:schemeClr w14:val="tx1"/>
            </w14:solidFill>
          </w14:textFill>
        </w:rPr>
        <w:t>二〇二五年</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六</w:t>
      </w:r>
      <w:r>
        <w:rPr>
          <w:rFonts w:hint="eastAsia" w:ascii="Times New Roman" w:hAnsi="Times New Roman" w:eastAsia="宋体" w:cs="Times New Roman"/>
          <w:b/>
          <w:bCs/>
          <w:color w:val="000000" w:themeColor="text1"/>
          <w:sz w:val="28"/>
          <w:szCs w:val="28"/>
          <w:highlight w:val="none"/>
          <w:lang w:val="en-US" w:eastAsia="zh-CN"/>
          <w14:textFill>
            <w14:solidFill>
              <w14:schemeClr w14:val="tx1"/>
            </w14:solidFill>
          </w14:textFill>
        </w:rPr>
        <w:t>月</w:t>
      </w:r>
    </w:p>
    <w:p w14:paraId="37E4C63E">
      <w:pPr>
        <w:keepNext w:val="0"/>
        <w:keepLines w:val="0"/>
        <w:pageBreakBefore w:val="0"/>
        <w:widowControl w:val="0"/>
        <w:kinsoku/>
        <w:overflowPunct/>
        <w:bidi w:val="0"/>
        <w:snapToGrid w:val="0"/>
        <w:spacing w:line="300" w:lineRule="auto"/>
        <w:ind w:firstLine="560"/>
        <w:jc w:val="center"/>
        <w:rPr>
          <w:rFonts w:ascii="Times New Roman" w:hAnsi="Times New Roman"/>
          <w:color w:val="000000" w:themeColor="text1"/>
          <w:kern w:val="0"/>
          <w:sz w:val="28"/>
          <w:szCs w:val="36"/>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714388F">
      <w:pPr>
        <w:keepNext w:val="0"/>
        <w:keepLines w:val="0"/>
        <w:pageBreakBefore w:val="0"/>
        <w:widowControl w:val="0"/>
        <w:kinsoku/>
        <w:overflowPunct/>
        <w:bidi w:val="0"/>
        <w:snapToGrid w:val="0"/>
        <w:spacing w:line="300" w:lineRule="auto"/>
        <w:ind w:firstLine="560"/>
        <w:jc w:val="center"/>
        <w:rPr>
          <w:rFonts w:ascii="Times New Roman" w:hAnsi="Times New Roman"/>
          <w:color w:val="000000" w:themeColor="text1"/>
          <w:kern w:val="0"/>
          <w:sz w:val="28"/>
          <w:szCs w:val="36"/>
          <w:highlight w:val="none"/>
          <w14:textFill>
            <w14:solidFill>
              <w14:schemeClr w14:val="tx1"/>
            </w14:solidFill>
          </w14:textFill>
        </w:rPr>
      </w:pPr>
    </w:p>
    <w:p w14:paraId="5B8C7656">
      <w:pPr>
        <w:keepNext w:val="0"/>
        <w:keepLines w:val="0"/>
        <w:pageBreakBefore w:val="0"/>
        <w:widowControl w:val="0"/>
        <w:kinsoku/>
        <w:overflowPunct/>
        <w:bidi w:val="0"/>
        <w:snapToGrid w:val="0"/>
        <w:spacing w:after="360" w:afterLines="150" w:line="360" w:lineRule="auto"/>
        <w:ind w:firstLine="562"/>
        <w:jc w:val="center"/>
        <w:rPr>
          <w:rFonts w:ascii="Times New Roman" w:hAnsi="Times New Roman"/>
          <w:color w:val="000000" w:themeColor="text1"/>
          <w:kern w:val="0"/>
          <w:sz w:val="36"/>
          <w:szCs w:val="36"/>
          <w:highlight w:val="none"/>
          <w14:textFill>
            <w14:solidFill>
              <w14:schemeClr w14:val="tx1"/>
            </w14:solidFill>
          </w14:textFill>
        </w:rPr>
      </w:pPr>
      <w:r>
        <w:rPr>
          <w:rFonts w:ascii="Times New Roman" w:hAnsi="Times New Roman"/>
          <w:b/>
          <w:bCs/>
          <w:color w:val="000000" w:themeColor="text1"/>
          <w:kern w:val="0"/>
          <w:sz w:val="28"/>
          <w:szCs w:val="28"/>
          <w:highlight w:val="none"/>
          <w14:textFill>
            <w14:solidFill>
              <w14:schemeClr w14:val="tx1"/>
            </w14:solidFill>
          </w14:textFill>
        </w:rPr>
        <w:t>目     录</w:t>
      </w:r>
    </w:p>
    <w:p w14:paraId="787146E1">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rFonts w:asciiTheme="minorEastAsia" w:hAnsiTheme="minorEastAsia" w:eastAsiaTheme="minorEastAsia"/>
          <w:color w:val="000000" w:themeColor="text1"/>
          <w:kern w:val="0"/>
          <w:sz w:val="24"/>
          <w:highlight w:val="none"/>
          <w14:textFill>
            <w14:solidFill>
              <w14:schemeClr w14:val="tx1"/>
            </w14:solidFill>
          </w14:textFill>
        </w:rPr>
        <w:fldChar w:fldCharType="begin"/>
      </w:r>
      <w:r>
        <w:rPr>
          <w:rFonts w:asciiTheme="minorEastAsia" w:hAnsiTheme="minorEastAsia" w:eastAsiaTheme="minorEastAsia"/>
          <w:color w:val="000000" w:themeColor="text1"/>
          <w:kern w:val="0"/>
          <w:sz w:val="24"/>
          <w:highlight w:val="none"/>
          <w14:textFill>
            <w14:solidFill>
              <w14:schemeClr w14:val="tx1"/>
            </w14:solidFill>
          </w14:textFill>
        </w:rPr>
        <w:instrText xml:space="preserve"> TOC \o "1-2" \h \z \u </w:instrText>
      </w:r>
      <w:r>
        <w:rPr>
          <w:rFonts w:asciiTheme="minorEastAsia" w:hAnsiTheme="minorEastAsia" w:eastAsiaTheme="minorEastAsia"/>
          <w:color w:val="000000" w:themeColor="text1"/>
          <w:kern w:val="0"/>
          <w:sz w:val="24"/>
          <w:highlight w:val="none"/>
          <w14:textFill>
            <w14:solidFill>
              <w14:schemeClr w14:val="tx1"/>
            </w14:solidFill>
          </w14:textFill>
        </w:rPr>
        <w:fldChar w:fldCharType="separate"/>
      </w:r>
      <w:r>
        <w:rPr>
          <w:highlight w:val="none"/>
        </w:rPr>
        <w:fldChar w:fldCharType="begin"/>
      </w:r>
      <w:r>
        <w:rPr>
          <w:highlight w:val="none"/>
        </w:rPr>
        <w:instrText xml:space="preserve"> HYPERLINK \l "_Toc180347448" </w:instrText>
      </w:r>
      <w:r>
        <w:rPr>
          <w:highlight w:val="none"/>
        </w:rPr>
        <w:fldChar w:fldCharType="separate"/>
      </w:r>
      <w:r>
        <w:rPr>
          <w:rStyle w:val="27"/>
          <w:rFonts w:hint="eastAsia" w:asciiTheme="minorEastAsia" w:hAnsiTheme="minorEastAsia" w:eastAsiaTheme="minorEastAsia"/>
          <w:b/>
          <w:kern w:val="0"/>
          <w:sz w:val="24"/>
          <w:highlight w:val="none"/>
        </w:rPr>
        <w:t>第一部分</w:t>
      </w:r>
      <w:r>
        <w:rPr>
          <w:rStyle w:val="27"/>
          <w:rFonts w:asciiTheme="minorEastAsia" w:hAnsiTheme="minorEastAsia" w:eastAsiaTheme="minorEastAsia"/>
          <w:b/>
          <w:kern w:val="0"/>
          <w:sz w:val="24"/>
          <w:highlight w:val="none"/>
        </w:rPr>
        <w:t xml:space="preserve">  </w:t>
      </w:r>
      <w:r>
        <w:rPr>
          <w:rStyle w:val="27"/>
          <w:rFonts w:hint="eastAsia" w:asciiTheme="minorEastAsia" w:hAnsiTheme="minorEastAsia" w:eastAsiaTheme="minorEastAsia"/>
          <w:b/>
          <w:kern w:val="0"/>
          <w:sz w:val="24"/>
          <w:highlight w:val="none"/>
        </w:rPr>
        <w:t>招标公告</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_Toc180347448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2</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672FF03E">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"_Toc180347449" </w:instrText>
      </w:r>
      <w:r>
        <w:rPr>
          <w:highlight w:val="none"/>
        </w:rPr>
        <w:fldChar w:fldCharType="separate"/>
      </w:r>
      <w:r>
        <w:rPr>
          <w:rStyle w:val="27"/>
          <w:rFonts w:hint="eastAsia" w:asciiTheme="minorEastAsia" w:hAnsiTheme="minorEastAsia" w:eastAsiaTheme="minorEastAsia"/>
          <w:b/>
          <w:kern w:val="0"/>
          <w:sz w:val="24"/>
          <w:highlight w:val="none"/>
        </w:rPr>
        <w:t>第二部分</w:t>
      </w:r>
      <w:r>
        <w:rPr>
          <w:rStyle w:val="27"/>
          <w:rFonts w:asciiTheme="minorEastAsia" w:hAnsiTheme="minorEastAsia" w:eastAsiaTheme="minorEastAsia"/>
          <w:b/>
          <w:kern w:val="0"/>
          <w:sz w:val="24"/>
          <w:highlight w:val="none"/>
        </w:rPr>
        <w:t xml:space="preserve">  </w:t>
      </w:r>
      <w:r>
        <w:rPr>
          <w:rStyle w:val="27"/>
          <w:rFonts w:hint="eastAsia" w:asciiTheme="minorEastAsia" w:hAnsiTheme="minorEastAsia" w:eastAsiaTheme="minorEastAsia"/>
          <w:b/>
          <w:kern w:val="0"/>
          <w:sz w:val="24"/>
          <w:highlight w:val="none"/>
        </w:rPr>
        <w:t>投标人须知前附表</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_Toc180347449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7</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6C41B335">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"_Toc180347451" </w:instrText>
      </w:r>
      <w:r>
        <w:rPr>
          <w:highlight w:val="none"/>
        </w:rPr>
        <w:fldChar w:fldCharType="separate"/>
      </w:r>
      <w:r>
        <w:rPr>
          <w:rStyle w:val="27"/>
          <w:rFonts w:hint="eastAsia" w:asciiTheme="minorEastAsia" w:hAnsiTheme="minorEastAsia" w:eastAsiaTheme="minorEastAsia"/>
          <w:b/>
          <w:kern w:val="0"/>
          <w:sz w:val="24"/>
          <w:highlight w:val="none"/>
        </w:rPr>
        <w:t>第三部分</w:t>
      </w:r>
      <w:r>
        <w:rPr>
          <w:rStyle w:val="27"/>
          <w:rFonts w:asciiTheme="minorEastAsia" w:hAnsiTheme="minorEastAsia" w:eastAsiaTheme="minorEastAsia"/>
          <w:b/>
          <w:kern w:val="0"/>
          <w:sz w:val="24"/>
          <w:highlight w:val="none"/>
        </w:rPr>
        <w:t xml:space="preserve">  </w:t>
      </w:r>
      <w:r>
        <w:rPr>
          <w:rStyle w:val="27"/>
          <w:rFonts w:hint="eastAsia" w:asciiTheme="minorEastAsia" w:hAnsiTheme="minorEastAsia" w:eastAsiaTheme="minorEastAsia"/>
          <w:b/>
          <w:kern w:val="0"/>
          <w:sz w:val="24"/>
          <w:highlight w:val="none"/>
        </w:rPr>
        <w:t>投标人须知</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_Toc180347451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14</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73CD467E">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"_Toc180347452" </w:instrText>
      </w:r>
      <w:r>
        <w:rPr>
          <w:highlight w:val="none"/>
        </w:rPr>
        <w:fldChar w:fldCharType="separate"/>
      </w:r>
      <w:r>
        <w:rPr>
          <w:rStyle w:val="27"/>
          <w:rFonts w:hint="eastAsia" w:cs="宋体" w:asciiTheme="minorEastAsia" w:hAnsiTheme="minorEastAsia" w:eastAsiaTheme="minorEastAsia"/>
          <w:b/>
          <w:kern w:val="0"/>
          <w:sz w:val="24"/>
          <w:highlight w:val="none"/>
        </w:rPr>
        <w:t>一、总则</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_Toc180347452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14</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7DFB2878">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"_Toc180347453" </w:instrText>
      </w:r>
      <w:r>
        <w:rPr>
          <w:highlight w:val="none"/>
        </w:rPr>
        <w:fldChar w:fldCharType="separate"/>
      </w:r>
      <w:r>
        <w:rPr>
          <w:rStyle w:val="27"/>
          <w:rFonts w:hint="eastAsia" w:cs="宋体" w:asciiTheme="minorEastAsia" w:hAnsiTheme="minorEastAsia" w:eastAsiaTheme="minorEastAsia"/>
          <w:b/>
          <w:kern w:val="0"/>
          <w:sz w:val="24"/>
          <w:highlight w:val="none"/>
        </w:rPr>
        <w:t>二、招标文件组成、澄清和修改</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_Toc180347453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17</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2D7A31E3">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"_Toc180347454" </w:instrText>
      </w:r>
      <w:r>
        <w:rPr>
          <w:highlight w:val="none"/>
        </w:rPr>
        <w:fldChar w:fldCharType="separate"/>
      </w:r>
      <w:r>
        <w:rPr>
          <w:rStyle w:val="27"/>
          <w:rFonts w:hint="eastAsia" w:cs="宋体" w:asciiTheme="minorEastAsia" w:hAnsiTheme="minorEastAsia" w:eastAsiaTheme="minorEastAsia"/>
          <w:b/>
          <w:kern w:val="0"/>
          <w:sz w:val="24"/>
          <w:highlight w:val="none"/>
        </w:rPr>
        <w:t>三、投标文件组成、编制与要求</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_Toc180347454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18</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3D0CD8DF">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"_Toc180347455" </w:instrText>
      </w:r>
      <w:r>
        <w:rPr>
          <w:highlight w:val="none"/>
        </w:rPr>
        <w:fldChar w:fldCharType="separate"/>
      </w:r>
      <w:r>
        <w:rPr>
          <w:rStyle w:val="27"/>
          <w:rFonts w:hint="eastAsia" w:cs="宋体" w:asciiTheme="minorEastAsia" w:hAnsiTheme="minorEastAsia" w:eastAsiaTheme="minorEastAsia"/>
          <w:b/>
          <w:kern w:val="0"/>
          <w:sz w:val="24"/>
          <w:highlight w:val="none"/>
        </w:rPr>
        <w:t>四、投标保证金</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_Toc180347455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23</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4967A643">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"_Toc180347456" </w:instrText>
      </w:r>
      <w:r>
        <w:rPr>
          <w:highlight w:val="none"/>
        </w:rPr>
        <w:fldChar w:fldCharType="separate"/>
      </w:r>
      <w:r>
        <w:rPr>
          <w:rStyle w:val="27"/>
          <w:rFonts w:hint="eastAsia" w:cs="宋体" w:asciiTheme="minorEastAsia" w:hAnsiTheme="minorEastAsia" w:eastAsiaTheme="minorEastAsia"/>
          <w:b/>
          <w:kern w:val="0"/>
          <w:sz w:val="24"/>
          <w:highlight w:val="none"/>
        </w:rPr>
        <w:t>五、资格审查小组、评标委员会组成与职责</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_Toc180347456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23</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07C3707C">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"_Toc180347457" </w:instrText>
      </w:r>
      <w:r>
        <w:rPr>
          <w:highlight w:val="none"/>
        </w:rPr>
        <w:fldChar w:fldCharType="separate"/>
      </w:r>
      <w:r>
        <w:rPr>
          <w:rStyle w:val="27"/>
          <w:rFonts w:hint="eastAsia" w:cs="宋体" w:asciiTheme="minorEastAsia" w:hAnsiTheme="minorEastAsia" w:eastAsiaTheme="minorEastAsia"/>
          <w:b/>
          <w:kern w:val="0"/>
          <w:sz w:val="24"/>
          <w:highlight w:val="none"/>
        </w:rPr>
        <w:t>六、代理机构的职责</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_Toc180347457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25</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7521D51D">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"_Toc180347458" </w:instrText>
      </w:r>
      <w:r>
        <w:rPr>
          <w:highlight w:val="none"/>
        </w:rPr>
        <w:fldChar w:fldCharType="separate"/>
      </w:r>
      <w:r>
        <w:rPr>
          <w:rStyle w:val="27"/>
          <w:rFonts w:hint="eastAsia" w:cs="宋体" w:asciiTheme="minorEastAsia" w:hAnsiTheme="minorEastAsia" w:eastAsiaTheme="minorEastAsia"/>
          <w:b/>
          <w:kern w:val="0"/>
          <w:sz w:val="24"/>
          <w:highlight w:val="none"/>
        </w:rPr>
        <w:t>七、评审和评定程序与要求</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_Toc180347458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25</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10ACB0F5">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"_Toc180347459" </w:instrText>
      </w:r>
      <w:r>
        <w:rPr>
          <w:highlight w:val="none"/>
        </w:rPr>
        <w:fldChar w:fldCharType="separate"/>
      </w:r>
      <w:r>
        <w:rPr>
          <w:rStyle w:val="27"/>
          <w:rFonts w:hint="eastAsia" w:cs="宋体" w:asciiTheme="minorEastAsia" w:hAnsiTheme="minorEastAsia" w:eastAsiaTheme="minorEastAsia"/>
          <w:b/>
          <w:kern w:val="0"/>
          <w:sz w:val="24"/>
          <w:highlight w:val="none"/>
        </w:rPr>
        <w:t>八、签订合同</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_Toc180347459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36</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5DAD9E88">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"_Toc180347460" </w:instrText>
      </w:r>
      <w:r>
        <w:rPr>
          <w:highlight w:val="none"/>
        </w:rPr>
        <w:fldChar w:fldCharType="separate"/>
      </w:r>
      <w:r>
        <w:rPr>
          <w:rStyle w:val="27"/>
          <w:rFonts w:hint="eastAsia" w:cs="宋体" w:asciiTheme="minorEastAsia" w:hAnsiTheme="minorEastAsia" w:eastAsiaTheme="minorEastAsia"/>
          <w:b/>
          <w:kern w:val="0"/>
          <w:sz w:val="24"/>
          <w:highlight w:val="none"/>
        </w:rPr>
        <w:t>九、保密和披露</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_Toc180347460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36</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6D418ED5">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"_Toc180347461" </w:instrText>
      </w:r>
      <w:r>
        <w:rPr>
          <w:highlight w:val="none"/>
        </w:rPr>
        <w:fldChar w:fldCharType="separate"/>
      </w:r>
      <w:r>
        <w:rPr>
          <w:rStyle w:val="27"/>
          <w:rFonts w:hint="eastAsia" w:cs="宋体" w:asciiTheme="minorEastAsia" w:hAnsiTheme="minorEastAsia" w:eastAsiaTheme="minorEastAsia"/>
          <w:b/>
          <w:kern w:val="0"/>
          <w:sz w:val="24"/>
          <w:highlight w:val="none"/>
        </w:rPr>
        <w:t>十、询问和质疑</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_Toc180347461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37</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7A4DC58D">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"_Toc180347462" </w:instrText>
      </w:r>
      <w:r>
        <w:rPr>
          <w:highlight w:val="none"/>
        </w:rPr>
        <w:fldChar w:fldCharType="separate"/>
      </w:r>
      <w:r>
        <w:rPr>
          <w:rStyle w:val="27"/>
          <w:rFonts w:hint="eastAsia" w:cs="宋体" w:asciiTheme="minorEastAsia" w:hAnsiTheme="minorEastAsia" w:eastAsiaTheme="minorEastAsia"/>
          <w:b/>
          <w:kern w:val="0"/>
          <w:sz w:val="24"/>
          <w:highlight w:val="none"/>
        </w:rPr>
        <w:t>十一、违法违规行为</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_Toc180347462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39</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7A075637">
      <w:pPr>
        <w:pStyle w:val="17"/>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"_Toc180347463" </w:instrText>
      </w:r>
      <w:r>
        <w:rPr>
          <w:highlight w:val="none"/>
        </w:rPr>
        <w:fldChar w:fldCharType="separate"/>
      </w:r>
      <w:r>
        <w:rPr>
          <w:rStyle w:val="27"/>
          <w:rFonts w:hint="eastAsia" w:cs="宋体" w:asciiTheme="minorEastAsia" w:hAnsiTheme="minorEastAsia" w:eastAsiaTheme="minorEastAsia"/>
          <w:b/>
          <w:kern w:val="0"/>
          <w:sz w:val="24"/>
          <w:highlight w:val="none"/>
        </w:rPr>
        <w:t>十二、政府采购政策性要求</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_Toc180347463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41</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00CBC09D">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"_Toc180347464" </w:instrText>
      </w:r>
      <w:r>
        <w:rPr>
          <w:highlight w:val="none"/>
        </w:rPr>
        <w:fldChar w:fldCharType="separate"/>
      </w:r>
      <w:r>
        <w:rPr>
          <w:rStyle w:val="27"/>
          <w:rFonts w:hint="eastAsia" w:asciiTheme="minorEastAsia" w:hAnsiTheme="minorEastAsia" w:eastAsiaTheme="minorEastAsia"/>
          <w:b/>
          <w:kern w:val="0"/>
          <w:sz w:val="24"/>
          <w:highlight w:val="none"/>
        </w:rPr>
        <w:t>第四部分</w:t>
      </w:r>
      <w:r>
        <w:rPr>
          <w:rStyle w:val="27"/>
          <w:rFonts w:asciiTheme="minorEastAsia" w:hAnsiTheme="minorEastAsia" w:eastAsiaTheme="minorEastAsia"/>
          <w:b/>
          <w:kern w:val="0"/>
          <w:sz w:val="24"/>
          <w:highlight w:val="none"/>
        </w:rPr>
        <w:t xml:space="preserve">   </w:t>
      </w:r>
      <w:r>
        <w:rPr>
          <w:rStyle w:val="27"/>
          <w:rFonts w:hint="eastAsia" w:asciiTheme="minorEastAsia" w:hAnsiTheme="minorEastAsia" w:eastAsiaTheme="minorEastAsia"/>
          <w:b/>
          <w:kern w:val="0"/>
          <w:sz w:val="24"/>
          <w:highlight w:val="none"/>
        </w:rPr>
        <w:t>评审方法和评审标准</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_Toc180347464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44</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16954E99">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"_Toc180347469" </w:instrText>
      </w:r>
      <w:r>
        <w:rPr>
          <w:highlight w:val="none"/>
        </w:rPr>
        <w:fldChar w:fldCharType="separate"/>
      </w:r>
      <w:r>
        <w:rPr>
          <w:rStyle w:val="27"/>
          <w:rFonts w:hint="eastAsia" w:asciiTheme="minorEastAsia" w:hAnsiTheme="minorEastAsia" w:eastAsiaTheme="minorEastAsia"/>
          <w:b/>
          <w:kern w:val="0"/>
          <w:sz w:val="24"/>
          <w:highlight w:val="none"/>
        </w:rPr>
        <w:t>第五部分</w:t>
      </w:r>
      <w:r>
        <w:rPr>
          <w:rStyle w:val="27"/>
          <w:rFonts w:asciiTheme="minorEastAsia" w:hAnsiTheme="minorEastAsia" w:eastAsiaTheme="minorEastAsia"/>
          <w:b/>
          <w:kern w:val="0"/>
          <w:sz w:val="24"/>
          <w:highlight w:val="none"/>
        </w:rPr>
        <w:t xml:space="preserve">  </w:t>
      </w:r>
      <w:r>
        <w:rPr>
          <w:rStyle w:val="27"/>
          <w:rFonts w:hint="eastAsia" w:asciiTheme="minorEastAsia" w:hAnsiTheme="minorEastAsia" w:eastAsiaTheme="minorEastAsia"/>
          <w:b/>
          <w:kern w:val="0"/>
          <w:sz w:val="24"/>
          <w:highlight w:val="none"/>
        </w:rPr>
        <w:t>商务、技术要求</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_Toc180347469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52</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49ABD512">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"_Toc180347470" </w:instrText>
      </w:r>
      <w:r>
        <w:rPr>
          <w:highlight w:val="none"/>
        </w:rPr>
        <w:fldChar w:fldCharType="separate"/>
      </w:r>
      <w:r>
        <w:rPr>
          <w:rStyle w:val="27"/>
          <w:rFonts w:hint="eastAsia" w:asciiTheme="minorEastAsia" w:hAnsiTheme="minorEastAsia" w:eastAsiaTheme="minorEastAsia"/>
          <w:b/>
          <w:kern w:val="0"/>
          <w:sz w:val="24"/>
          <w:highlight w:val="none"/>
        </w:rPr>
        <w:t>第六部分</w:t>
      </w:r>
      <w:r>
        <w:rPr>
          <w:rStyle w:val="27"/>
          <w:rFonts w:asciiTheme="minorEastAsia" w:hAnsiTheme="minorEastAsia" w:eastAsiaTheme="minorEastAsia"/>
          <w:b/>
          <w:kern w:val="0"/>
          <w:sz w:val="24"/>
          <w:highlight w:val="none"/>
        </w:rPr>
        <w:t xml:space="preserve">  </w:t>
      </w:r>
      <w:r>
        <w:rPr>
          <w:rStyle w:val="27"/>
          <w:rFonts w:hint="eastAsia" w:asciiTheme="minorEastAsia" w:hAnsiTheme="minorEastAsia" w:eastAsiaTheme="minorEastAsia"/>
          <w:b/>
          <w:kern w:val="0"/>
          <w:sz w:val="24"/>
          <w:highlight w:val="none"/>
        </w:rPr>
        <w:t>拟签订的合同文本</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_Toc180347470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57</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52838D57">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"_Toc180347474" </w:instrText>
      </w:r>
      <w:r>
        <w:rPr>
          <w:highlight w:val="none"/>
        </w:rPr>
        <w:fldChar w:fldCharType="separate"/>
      </w:r>
      <w:r>
        <w:rPr>
          <w:rStyle w:val="27"/>
          <w:rFonts w:hint="eastAsia" w:asciiTheme="minorEastAsia" w:hAnsiTheme="minorEastAsia" w:eastAsiaTheme="minorEastAsia"/>
          <w:b/>
          <w:kern w:val="0"/>
          <w:sz w:val="24"/>
          <w:highlight w:val="none"/>
        </w:rPr>
        <w:t>第七部分</w:t>
      </w:r>
      <w:r>
        <w:rPr>
          <w:rStyle w:val="27"/>
          <w:rFonts w:asciiTheme="minorEastAsia" w:hAnsiTheme="minorEastAsia" w:eastAsiaTheme="minorEastAsia"/>
          <w:b/>
          <w:kern w:val="0"/>
          <w:sz w:val="24"/>
          <w:highlight w:val="none"/>
        </w:rPr>
        <w:t xml:space="preserve">  </w:t>
      </w:r>
      <w:r>
        <w:rPr>
          <w:rStyle w:val="27"/>
          <w:rFonts w:hint="eastAsia" w:asciiTheme="minorEastAsia" w:hAnsiTheme="minorEastAsia" w:eastAsiaTheme="minorEastAsia"/>
          <w:b/>
          <w:kern w:val="0"/>
          <w:sz w:val="24"/>
          <w:highlight w:val="none"/>
        </w:rPr>
        <w:t>投标文件格式</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_Toc180347474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80</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0C76BE4B">
      <w:pPr>
        <w:pStyle w:val="16"/>
        <w:keepNext w:val="0"/>
        <w:keepLines w:val="0"/>
        <w:pageBreakBefore w:val="0"/>
        <w:widowControl w:val="0"/>
        <w:tabs>
          <w:tab w:val="right" w:leader="dot" w:pos="9060"/>
        </w:tabs>
        <w:kinsoku/>
        <w:overflowPunct/>
        <w:bidi w:val="0"/>
        <w:adjustRightInd w:val="0"/>
        <w:snapToGrid w:val="0"/>
        <w:spacing w:line="360" w:lineRule="auto"/>
        <w:rPr>
          <w:rFonts w:asciiTheme="minorEastAsia" w:hAnsiTheme="minorEastAsia" w:eastAsiaTheme="minorEastAsia" w:cstheme="minorBidi"/>
          <w:sz w:val="24"/>
          <w:highlight w:val="none"/>
        </w:rPr>
      </w:pPr>
      <w:r>
        <w:rPr>
          <w:highlight w:val="none"/>
        </w:rPr>
        <w:fldChar w:fldCharType="begin"/>
      </w:r>
      <w:r>
        <w:rPr>
          <w:highlight w:val="none"/>
        </w:rPr>
        <w:instrText xml:space="preserve"> HYPERLINK \l "_Toc180347501" </w:instrText>
      </w:r>
      <w:r>
        <w:rPr>
          <w:highlight w:val="none"/>
        </w:rPr>
        <w:fldChar w:fldCharType="separate"/>
      </w:r>
      <w:r>
        <w:rPr>
          <w:rStyle w:val="27"/>
          <w:rFonts w:hint="eastAsia" w:asciiTheme="minorEastAsia" w:hAnsiTheme="minorEastAsia" w:eastAsiaTheme="minorEastAsia"/>
          <w:b/>
          <w:kern w:val="0"/>
          <w:sz w:val="24"/>
          <w:highlight w:val="none"/>
        </w:rPr>
        <w:t>第八部分</w:t>
      </w:r>
      <w:r>
        <w:rPr>
          <w:rStyle w:val="27"/>
          <w:rFonts w:asciiTheme="minorEastAsia" w:hAnsiTheme="minorEastAsia" w:eastAsiaTheme="minorEastAsia"/>
          <w:b/>
          <w:kern w:val="0"/>
          <w:sz w:val="24"/>
          <w:highlight w:val="none"/>
        </w:rPr>
        <w:t xml:space="preserve">  </w:t>
      </w:r>
      <w:r>
        <w:rPr>
          <w:rStyle w:val="27"/>
          <w:rFonts w:hint="eastAsia" w:asciiTheme="minorEastAsia" w:hAnsiTheme="minorEastAsia" w:eastAsiaTheme="minorEastAsia"/>
          <w:b/>
          <w:kern w:val="0"/>
          <w:sz w:val="24"/>
          <w:highlight w:val="none"/>
        </w:rPr>
        <w:t>相关附件</w:t>
      </w:r>
      <w:r>
        <w:rPr>
          <w:rFonts w:asciiTheme="minorEastAsia" w:hAnsiTheme="minorEastAsia" w:eastAsiaTheme="minorEastAsia"/>
          <w:sz w:val="24"/>
          <w:highlight w:val="none"/>
        </w:rPr>
        <w:tab/>
      </w:r>
      <w:r>
        <w:rPr>
          <w:rFonts w:asciiTheme="minorEastAsia" w:hAnsiTheme="minorEastAsia" w:eastAsiaTheme="minorEastAsia"/>
          <w:sz w:val="24"/>
          <w:highlight w:val="none"/>
        </w:rPr>
        <w:fldChar w:fldCharType="begin"/>
      </w:r>
      <w:r>
        <w:rPr>
          <w:rFonts w:asciiTheme="minorEastAsia" w:hAnsiTheme="minorEastAsia" w:eastAsiaTheme="minorEastAsia"/>
          <w:sz w:val="24"/>
          <w:highlight w:val="none"/>
        </w:rPr>
        <w:instrText xml:space="preserve"> PAGEREF _Toc180347501 \h </w:instrText>
      </w:r>
      <w:r>
        <w:rPr>
          <w:rFonts w:asciiTheme="minorEastAsia" w:hAnsiTheme="minorEastAsia" w:eastAsiaTheme="minorEastAsia"/>
          <w:sz w:val="24"/>
          <w:highlight w:val="none"/>
        </w:rPr>
        <w:fldChar w:fldCharType="separate"/>
      </w:r>
      <w:r>
        <w:rPr>
          <w:rFonts w:asciiTheme="minorEastAsia" w:hAnsiTheme="minorEastAsia" w:eastAsiaTheme="minorEastAsia"/>
          <w:sz w:val="24"/>
          <w:highlight w:val="none"/>
        </w:rPr>
        <w:t>122</w:t>
      </w:r>
      <w:r>
        <w:rPr>
          <w:rFonts w:asciiTheme="minorEastAsia" w:hAnsiTheme="minorEastAsia" w:eastAsiaTheme="minorEastAsia"/>
          <w:sz w:val="24"/>
          <w:highlight w:val="none"/>
        </w:rPr>
        <w:fldChar w:fldCharType="end"/>
      </w:r>
      <w:r>
        <w:rPr>
          <w:rFonts w:asciiTheme="minorEastAsia" w:hAnsiTheme="minorEastAsia" w:eastAsiaTheme="minorEastAsia"/>
          <w:sz w:val="24"/>
          <w:highlight w:val="none"/>
        </w:rPr>
        <w:fldChar w:fldCharType="end"/>
      </w:r>
    </w:p>
    <w:p w14:paraId="0C28E017">
      <w:pPr>
        <w:keepNext w:val="0"/>
        <w:keepLines w:val="0"/>
        <w:pageBreakBefore w:val="0"/>
        <w:widowControl w:val="0"/>
        <w:kinsoku/>
        <w:overflowPunct/>
        <w:bidi w:val="0"/>
        <w:adjustRightInd w:val="0"/>
        <w:snapToGrid w:val="0"/>
        <w:spacing w:line="360" w:lineRule="auto"/>
        <w:ind w:firstLine="480"/>
        <w:rPr>
          <w:rFonts w:ascii="Times New Roman" w:hAnsi="Times New Roman"/>
          <w:color w:val="000000" w:themeColor="text1"/>
          <w:kern w:val="0"/>
          <w:sz w:val="28"/>
          <w:szCs w:val="30"/>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fldChar w:fldCharType="end"/>
      </w:r>
    </w:p>
    <w:p w14:paraId="1F35832D">
      <w:pPr>
        <w:keepNext w:val="0"/>
        <w:keepLines w:val="0"/>
        <w:pageBreakBefore w:val="0"/>
        <w:widowControl w:val="0"/>
        <w:tabs>
          <w:tab w:val="left" w:pos="2070"/>
          <w:tab w:val="center" w:pos="4365"/>
        </w:tabs>
        <w:kinsoku/>
        <w:overflowPunct/>
        <w:bidi w:val="0"/>
        <w:adjustRightInd w:val="0"/>
        <w:snapToGrid w:val="0"/>
        <w:spacing w:line="360" w:lineRule="auto"/>
        <w:ind w:firstLine="643"/>
        <w:jc w:val="center"/>
        <w:outlineLvl w:val="0"/>
        <w:rPr>
          <w:rFonts w:ascii="Times New Roman" w:hAnsi="Times New Roman"/>
          <w:b/>
          <w:color w:val="000000" w:themeColor="text1"/>
          <w:kern w:val="0"/>
          <w:sz w:val="32"/>
          <w:szCs w:val="32"/>
          <w:highlight w:val="none"/>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28085"/>
      <w:bookmarkStart w:id="1" w:name="_Toc180347448"/>
    </w:p>
    <w:p w14:paraId="3F465449">
      <w:pPr>
        <w:keepNext w:val="0"/>
        <w:keepLines w:val="0"/>
        <w:pageBreakBefore w:val="0"/>
        <w:widowControl w:val="0"/>
        <w:tabs>
          <w:tab w:val="left" w:pos="2070"/>
          <w:tab w:val="center" w:pos="4365"/>
        </w:tabs>
        <w:kinsoku/>
        <w:overflowPunct/>
        <w:bidi w:val="0"/>
        <w:adjustRightInd w:val="0"/>
        <w:snapToGrid w:val="0"/>
        <w:spacing w:line="360" w:lineRule="auto"/>
        <w:ind w:firstLine="643"/>
        <w:jc w:val="center"/>
        <w:outlineLvl w:val="0"/>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 xml:space="preserve">第一部分 </w:t>
      </w:r>
      <w:bookmarkEnd w:id="0"/>
      <w:r>
        <w:rPr>
          <w:rFonts w:hint="eastAsia" w:ascii="Times New Roman" w:hAnsi="Times New Roman"/>
          <w:b/>
          <w:color w:val="000000" w:themeColor="text1"/>
          <w:kern w:val="0"/>
          <w:sz w:val="32"/>
          <w:szCs w:val="32"/>
          <w:highlight w:val="none"/>
          <w14:textFill>
            <w14:solidFill>
              <w14:schemeClr w14:val="tx1"/>
            </w14:solidFill>
          </w14:textFill>
        </w:rPr>
        <w:t xml:space="preserve"> 招标</w:t>
      </w:r>
      <w:r>
        <w:rPr>
          <w:rFonts w:ascii="Times New Roman" w:hAnsi="Times New Roman"/>
          <w:b/>
          <w:color w:val="000000" w:themeColor="text1"/>
          <w:kern w:val="0"/>
          <w:sz w:val="32"/>
          <w:szCs w:val="32"/>
          <w:highlight w:val="none"/>
          <w14:textFill>
            <w14:solidFill>
              <w14:schemeClr w14:val="tx1"/>
            </w14:solidFill>
          </w14:textFill>
        </w:rPr>
        <w:t>公告</w:t>
      </w:r>
      <w:bookmarkEnd w:id="1"/>
    </w:p>
    <w:p w14:paraId="39098C4A">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sz w:val="24"/>
          <w:szCs w:val="24"/>
          <w:highlight w:val="none"/>
        </w:rPr>
      </w:pPr>
      <w:r>
        <w:rPr>
          <w:rFonts w:ascii="微软雅黑" w:hAnsi="微软雅黑" w:eastAsia="微软雅黑" w:cs="微软雅黑"/>
          <w:i w:val="0"/>
          <w:iCs w:val="0"/>
          <w:caps w:val="0"/>
          <w:color w:val="000000"/>
          <w:spacing w:val="0"/>
          <w:sz w:val="24"/>
          <w:szCs w:val="24"/>
          <w:highlight w:val="none"/>
        </w:rPr>
        <w:t>项目概况                                                    </w:t>
      </w:r>
      <w:r>
        <w:rPr>
          <w:rFonts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rPr>
        <w:t>           </w:t>
      </w:r>
    </w:p>
    <w:p w14:paraId="5D07804A">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sz w:val="24"/>
          <w:szCs w:val="24"/>
          <w:highlight w:val="none"/>
        </w:rPr>
      </w:pPr>
      <w:r>
        <w:rPr>
          <w:rStyle w:val="29"/>
          <w:rFonts w:hint="eastAsia" w:ascii="微软雅黑" w:hAnsi="微软雅黑" w:eastAsia="微软雅黑" w:cs="微软雅黑"/>
          <w:i w:val="0"/>
          <w:iCs w:val="0"/>
          <w:caps w:val="0"/>
          <w:color w:val="000000"/>
          <w:spacing w:val="0"/>
          <w:sz w:val="24"/>
          <w:szCs w:val="24"/>
          <w:highlight w:val="none"/>
          <w:lang w:eastAsia="zh-CN"/>
        </w:rPr>
        <w:t>太原市DRG支付方式改革第三方服务项目</w:t>
      </w:r>
      <w:r>
        <w:rPr>
          <w:rStyle w:val="29"/>
          <w:rFonts w:hint="eastAsia" w:ascii="微软雅黑" w:hAnsi="微软雅黑" w:eastAsia="微软雅黑" w:cs="微软雅黑"/>
          <w:i w:val="0"/>
          <w:iCs w:val="0"/>
          <w:caps w:val="0"/>
          <w:color w:val="000000"/>
          <w:spacing w:val="0"/>
          <w:sz w:val="24"/>
          <w:szCs w:val="24"/>
          <w:highlight w:val="none"/>
        </w:rPr>
        <w:t>的潜在投标人应在政采云平台线上获取</w:t>
      </w:r>
      <w:r>
        <w:rPr>
          <w:rFonts w:hint="eastAsia" w:ascii="微软雅黑" w:hAnsi="微软雅黑" w:eastAsia="微软雅黑" w:cs="微软雅黑"/>
          <w:i w:val="0"/>
          <w:iCs w:val="0"/>
          <w:caps w:val="0"/>
          <w:color w:val="000000"/>
          <w:spacing w:val="0"/>
          <w:sz w:val="24"/>
          <w:szCs w:val="24"/>
          <w:highlight w:val="none"/>
        </w:rPr>
        <w:t>获取招标文件，并于</w:t>
      </w:r>
      <w:r>
        <w:rPr>
          <w:rStyle w:val="29"/>
          <w:rFonts w:hint="eastAsia" w:ascii="微软雅黑" w:hAnsi="微软雅黑" w:eastAsia="微软雅黑" w:cs="微软雅黑"/>
          <w:i w:val="0"/>
          <w:iCs w:val="0"/>
          <w:caps w:val="0"/>
          <w:color w:val="000000"/>
          <w:spacing w:val="0"/>
          <w:sz w:val="24"/>
          <w:szCs w:val="24"/>
          <w:highlight w:val="none"/>
        </w:rPr>
        <w:t>2025年</w:t>
      </w:r>
      <w:r>
        <w:rPr>
          <w:rStyle w:val="29"/>
          <w:rFonts w:hint="eastAsia" w:ascii="微软雅黑" w:hAnsi="微软雅黑" w:eastAsia="微软雅黑" w:cs="微软雅黑"/>
          <w:i w:val="0"/>
          <w:iCs w:val="0"/>
          <w:caps w:val="0"/>
          <w:color w:val="000000"/>
          <w:spacing w:val="0"/>
          <w:sz w:val="24"/>
          <w:szCs w:val="24"/>
          <w:highlight w:val="none"/>
          <w:lang w:val="en-US" w:eastAsia="zh-CN"/>
        </w:rPr>
        <w:t>06</w:t>
      </w:r>
      <w:r>
        <w:rPr>
          <w:rStyle w:val="29"/>
          <w:rFonts w:hint="eastAsia" w:ascii="微软雅黑" w:hAnsi="微软雅黑" w:eastAsia="微软雅黑" w:cs="微软雅黑"/>
          <w:i w:val="0"/>
          <w:iCs w:val="0"/>
          <w:caps w:val="0"/>
          <w:color w:val="000000"/>
          <w:spacing w:val="0"/>
          <w:sz w:val="24"/>
          <w:szCs w:val="24"/>
          <w:highlight w:val="none"/>
        </w:rPr>
        <w:t>月</w:t>
      </w:r>
      <w:r>
        <w:rPr>
          <w:rStyle w:val="29"/>
          <w:rFonts w:hint="eastAsia" w:ascii="微软雅黑" w:hAnsi="微软雅黑" w:eastAsia="微软雅黑" w:cs="微软雅黑"/>
          <w:i w:val="0"/>
          <w:iCs w:val="0"/>
          <w:caps w:val="0"/>
          <w:color w:val="000000"/>
          <w:spacing w:val="0"/>
          <w:sz w:val="24"/>
          <w:szCs w:val="24"/>
          <w:highlight w:val="none"/>
          <w:lang w:val="en-US" w:eastAsia="zh-CN"/>
        </w:rPr>
        <w:t>30</w:t>
      </w:r>
      <w:r>
        <w:rPr>
          <w:rStyle w:val="29"/>
          <w:rFonts w:hint="eastAsia" w:ascii="微软雅黑" w:hAnsi="微软雅黑" w:eastAsia="微软雅黑" w:cs="微软雅黑"/>
          <w:i w:val="0"/>
          <w:iCs w:val="0"/>
          <w:caps w:val="0"/>
          <w:color w:val="000000"/>
          <w:spacing w:val="0"/>
          <w:sz w:val="24"/>
          <w:szCs w:val="24"/>
          <w:highlight w:val="none"/>
        </w:rPr>
        <w:t>日 09:</w:t>
      </w:r>
      <w:r>
        <w:rPr>
          <w:rStyle w:val="29"/>
          <w:rFonts w:hint="eastAsia" w:ascii="微软雅黑" w:hAnsi="微软雅黑" w:eastAsia="微软雅黑" w:cs="微软雅黑"/>
          <w:i w:val="0"/>
          <w:iCs w:val="0"/>
          <w:caps w:val="0"/>
          <w:color w:val="000000"/>
          <w:spacing w:val="0"/>
          <w:sz w:val="24"/>
          <w:szCs w:val="24"/>
          <w:highlight w:val="none"/>
          <w:lang w:val="en-US" w:eastAsia="zh-CN"/>
        </w:rPr>
        <w:t>0</w:t>
      </w:r>
      <w:r>
        <w:rPr>
          <w:rStyle w:val="29"/>
          <w:rFonts w:hint="eastAsia" w:ascii="微软雅黑" w:hAnsi="微软雅黑" w:eastAsia="微软雅黑" w:cs="微软雅黑"/>
          <w:i w:val="0"/>
          <w:iCs w:val="0"/>
          <w:caps w:val="0"/>
          <w:color w:val="000000"/>
          <w:spacing w:val="0"/>
          <w:sz w:val="24"/>
          <w:szCs w:val="24"/>
          <w:highlight w:val="none"/>
        </w:rPr>
        <w:t>0</w:t>
      </w:r>
      <w:r>
        <w:rPr>
          <w:rFonts w:hint="eastAsia" w:ascii="微软雅黑" w:hAnsi="微软雅黑" w:eastAsia="微软雅黑" w:cs="微软雅黑"/>
          <w:i w:val="0"/>
          <w:iCs w:val="0"/>
          <w:caps w:val="0"/>
          <w:color w:val="000000"/>
          <w:spacing w:val="0"/>
          <w:sz w:val="24"/>
          <w:szCs w:val="24"/>
          <w:highlight w:val="none"/>
        </w:rPr>
        <w:t>（北京时间）前递交投标文件。                                                </w:t>
      </w:r>
      <w:r>
        <w:rPr>
          <w:rFonts w:hint="eastAsia" w:ascii="仿宋" w:hAnsi="仿宋" w:eastAsia="仿宋" w:cs="仿宋"/>
          <w:i w:val="0"/>
          <w:iCs w:val="0"/>
          <w:caps w:val="0"/>
          <w:color w:val="000000"/>
          <w:spacing w:val="0"/>
          <w:sz w:val="24"/>
          <w:szCs w:val="24"/>
          <w:highlight w:val="none"/>
        </w:rPr>
        <w:t>            </w:t>
      </w:r>
    </w:p>
    <w:p w14:paraId="7142BF41">
      <w:pPr>
        <w:pStyle w:val="19"/>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sz w:val="24"/>
          <w:szCs w:val="24"/>
          <w:highlight w:val="none"/>
        </w:rPr>
      </w:pPr>
      <w:r>
        <w:rPr>
          <w:rStyle w:val="26"/>
          <w:rFonts w:hint="eastAsia" w:ascii="微软雅黑" w:hAnsi="微软雅黑" w:eastAsia="微软雅黑" w:cs="微软雅黑"/>
          <w:i w:val="0"/>
          <w:iCs w:val="0"/>
          <w:caps w:val="0"/>
          <w:color w:val="000000"/>
          <w:spacing w:val="0"/>
          <w:sz w:val="24"/>
          <w:szCs w:val="24"/>
          <w:highlight w:val="none"/>
        </w:rPr>
        <w:t>一、项目基本情况</w:t>
      </w:r>
      <w:r>
        <w:rPr>
          <w:rFonts w:hint="eastAsia" w:ascii="微软雅黑" w:hAnsi="微软雅黑" w:eastAsia="微软雅黑" w:cs="微软雅黑"/>
          <w:i w:val="0"/>
          <w:iCs w:val="0"/>
          <w:caps w:val="0"/>
          <w:color w:val="000000"/>
          <w:spacing w:val="0"/>
          <w:sz w:val="24"/>
          <w:szCs w:val="24"/>
          <w:highlight w:val="none"/>
        </w:rPr>
        <w:t>                                            </w:t>
      </w:r>
      <w:r>
        <w:rPr>
          <w:rFonts w:ascii="黑体" w:hAnsi="宋体" w:eastAsia="黑体" w:cs="黑体"/>
          <w:i w:val="0"/>
          <w:iCs w:val="0"/>
          <w:caps w:val="0"/>
          <w:color w:val="000000"/>
          <w:spacing w:val="0"/>
          <w:sz w:val="24"/>
          <w:szCs w:val="24"/>
          <w:highlight w:val="none"/>
        </w:rPr>
        <w:t>    </w:t>
      </w:r>
    </w:p>
    <w:p w14:paraId="517E4100">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项目编号：1401992025CGK00323</w:t>
      </w:r>
    </w:p>
    <w:p w14:paraId="08F0A933">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仿宋" w:hAnsi="仿宋" w:eastAsia="仿宋" w:cs="仿宋"/>
          <w:sz w:val="24"/>
          <w:szCs w:val="24"/>
          <w:highlight w:val="none"/>
        </w:rPr>
      </w:pPr>
      <w:r>
        <w:rPr>
          <w:rFonts w:hint="eastAsia" w:ascii="微软雅黑" w:hAnsi="微软雅黑" w:eastAsia="微软雅黑" w:cs="微软雅黑"/>
          <w:i w:val="0"/>
          <w:iCs w:val="0"/>
          <w:caps w:val="0"/>
          <w:color w:val="000000"/>
          <w:spacing w:val="0"/>
          <w:sz w:val="24"/>
          <w:szCs w:val="24"/>
          <w:highlight w:val="none"/>
        </w:rPr>
        <w:t>项目名称：</w:t>
      </w:r>
      <w:r>
        <w:rPr>
          <w:rStyle w:val="29"/>
          <w:rFonts w:hint="eastAsia" w:ascii="微软雅黑" w:hAnsi="微软雅黑" w:eastAsia="微软雅黑" w:cs="微软雅黑"/>
          <w:i w:val="0"/>
          <w:iCs w:val="0"/>
          <w:caps w:val="0"/>
          <w:color w:val="000000"/>
          <w:spacing w:val="0"/>
          <w:sz w:val="24"/>
          <w:szCs w:val="24"/>
          <w:highlight w:val="none"/>
          <w:lang w:eastAsia="zh-CN"/>
        </w:rPr>
        <w:t>太原市DRG支付方式改革第三方服务项目</w:t>
      </w:r>
      <w:r>
        <w:rPr>
          <w:rFonts w:hint="eastAsia" w:ascii="仿宋" w:hAnsi="仿宋" w:eastAsia="仿宋" w:cs="仿宋"/>
          <w:i w:val="0"/>
          <w:iCs w:val="0"/>
          <w:caps w:val="0"/>
          <w:color w:val="000000"/>
          <w:spacing w:val="0"/>
          <w:sz w:val="24"/>
          <w:szCs w:val="24"/>
          <w:highlight w:val="none"/>
        </w:rPr>
        <w:t>       </w:t>
      </w:r>
    </w:p>
    <w:p w14:paraId="00DBF86A">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default" w:ascii="仿宋" w:hAnsi="仿宋" w:eastAsia="微软雅黑" w:cs="仿宋"/>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rPr>
        <w:t>预算金额（元）：</w:t>
      </w:r>
      <w:r>
        <w:rPr>
          <w:rStyle w:val="29"/>
          <w:rFonts w:hint="eastAsia" w:ascii="微软雅黑" w:hAnsi="微软雅黑" w:eastAsia="微软雅黑" w:cs="微软雅黑"/>
          <w:i w:val="0"/>
          <w:iCs w:val="0"/>
          <w:caps w:val="0"/>
          <w:color w:val="000000"/>
          <w:spacing w:val="0"/>
          <w:sz w:val="24"/>
          <w:szCs w:val="24"/>
          <w:highlight w:val="none"/>
          <w:lang w:val="en-US" w:eastAsia="zh-CN"/>
        </w:rPr>
        <w:t>1319427.60</w:t>
      </w:r>
    </w:p>
    <w:p w14:paraId="4D6277B6">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default" w:ascii="仿宋" w:hAnsi="仿宋" w:eastAsia="微软雅黑" w:cs="仿宋"/>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rPr>
        <w:t>最高限价（元）：</w:t>
      </w:r>
      <w:r>
        <w:rPr>
          <w:rStyle w:val="29"/>
          <w:rFonts w:hint="eastAsia" w:ascii="微软雅黑" w:hAnsi="微软雅黑" w:eastAsia="微软雅黑" w:cs="微软雅黑"/>
          <w:i w:val="0"/>
          <w:iCs w:val="0"/>
          <w:caps w:val="0"/>
          <w:color w:val="000000"/>
          <w:spacing w:val="0"/>
          <w:sz w:val="24"/>
          <w:szCs w:val="24"/>
          <w:highlight w:val="none"/>
          <w:lang w:val="en-US" w:eastAsia="zh-CN"/>
        </w:rPr>
        <w:t>1319427.60</w:t>
      </w:r>
    </w:p>
    <w:p w14:paraId="2E2AA08C">
      <w:pPr>
        <w:pStyle w:val="53"/>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rPr>
        <w:t>采购需求：           </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000000"/>
          <w:spacing w:val="0"/>
          <w:sz w:val="24"/>
          <w:szCs w:val="24"/>
          <w:highlight w:val="none"/>
        </w:rPr>
        <w:t>    标项名称: </w:t>
      </w:r>
      <w:r>
        <w:rPr>
          <w:rFonts w:hint="eastAsia" w:ascii="微软雅黑" w:hAnsi="微软雅黑" w:eastAsia="微软雅黑" w:cs="微软雅黑"/>
          <w:i w:val="0"/>
          <w:iCs w:val="0"/>
          <w:caps w:val="0"/>
          <w:color w:val="000000"/>
          <w:spacing w:val="0"/>
          <w:sz w:val="24"/>
          <w:szCs w:val="24"/>
          <w:highlight w:val="none"/>
          <w:lang w:eastAsia="zh-CN"/>
        </w:rPr>
        <w:t>太原市DRG支付方式改革第三方服务项目</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000000"/>
          <w:spacing w:val="0"/>
          <w:sz w:val="24"/>
          <w:szCs w:val="24"/>
          <w:highlight w:val="none"/>
        </w:rPr>
        <w:t>    数量:  </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000000"/>
          <w:spacing w:val="0"/>
          <w:sz w:val="24"/>
          <w:szCs w:val="24"/>
          <w:highlight w:val="none"/>
        </w:rPr>
        <w:t>    预算金额（元）：</w:t>
      </w:r>
      <w:r>
        <w:rPr>
          <w:rFonts w:hint="eastAsia" w:ascii="微软雅黑" w:hAnsi="微软雅黑" w:eastAsia="微软雅黑" w:cs="微软雅黑"/>
          <w:i w:val="0"/>
          <w:iCs w:val="0"/>
          <w:caps w:val="0"/>
          <w:color w:val="000000"/>
          <w:spacing w:val="0"/>
          <w:sz w:val="24"/>
          <w:szCs w:val="24"/>
          <w:highlight w:val="none"/>
          <w:lang w:val="en-US" w:eastAsia="zh-CN"/>
        </w:rPr>
        <w:t>1319427.60</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000000"/>
          <w:spacing w:val="0"/>
          <w:sz w:val="24"/>
          <w:szCs w:val="24"/>
          <w:highlight w:val="none"/>
        </w:rPr>
        <w:t>    简要规格描述或项目基本概况介绍、用途：为进一步深化太原市医保支付方式改革工作，拟通过采购招标方式引入一家第三方服务机构开展技术支持及经办服务，按照国家、省、市的相关要求，结合太原市医保实际情况，构建形成具备太原特色、适合太原参保患者特点、符合太原医疗技术水平的多元复合型支付方式，提高医保基金的使用效率，推进太原市支付方式改革精细化纵深发展。</w:t>
      </w:r>
    </w:p>
    <w:p w14:paraId="126DAD92">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备注：</w:t>
      </w:r>
      <w:r>
        <w:rPr>
          <w:rFonts w:hint="eastAsia" w:ascii="微软雅黑" w:hAnsi="微软雅黑" w:eastAsia="微软雅黑" w:cs="微软雅黑"/>
          <w:i w:val="0"/>
          <w:iCs w:val="0"/>
          <w:caps w:val="0"/>
          <w:color w:val="000000"/>
          <w:spacing w:val="0"/>
          <w:sz w:val="24"/>
          <w:szCs w:val="24"/>
          <w:highlight w:val="none"/>
          <w:lang w:val="en-US" w:eastAsia="zh-CN"/>
        </w:rPr>
        <w:t>无</w:t>
      </w:r>
    </w:p>
    <w:p w14:paraId="4806F68A">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合同履约期限：</w:t>
      </w:r>
      <w:r>
        <w:rPr>
          <w:rFonts w:hint="eastAsia" w:ascii="微软雅黑" w:hAnsi="微软雅黑" w:eastAsia="微软雅黑" w:cs="微软雅黑"/>
          <w:i w:val="0"/>
          <w:iCs w:val="0"/>
          <w:caps w:val="0"/>
          <w:color w:val="000000"/>
          <w:spacing w:val="0"/>
          <w:sz w:val="24"/>
          <w:szCs w:val="24"/>
          <w:highlight w:val="none"/>
          <w:lang w:val="en-US" w:eastAsia="zh-CN"/>
        </w:rPr>
        <w:t>标项</w:t>
      </w:r>
      <w:r>
        <w:rPr>
          <w:rFonts w:hint="eastAsia" w:ascii="微软雅黑" w:hAnsi="微软雅黑" w:eastAsia="微软雅黑" w:cs="微软雅黑"/>
          <w:i w:val="0"/>
          <w:iCs w:val="0"/>
          <w:caps w:val="0"/>
          <w:color w:val="000000"/>
          <w:spacing w:val="0"/>
          <w:sz w:val="24"/>
          <w:szCs w:val="24"/>
          <w:highlight w:val="none"/>
        </w:rPr>
        <w:t>1，</w:t>
      </w:r>
      <w:r>
        <w:rPr>
          <w:rFonts w:hint="eastAsia" w:ascii="微软雅黑" w:hAnsi="微软雅黑" w:eastAsia="微软雅黑" w:cs="微软雅黑"/>
          <w:i w:val="0"/>
          <w:iCs w:val="0"/>
          <w:caps w:val="0"/>
          <w:color w:val="000000"/>
          <w:spacing w:val="0"/>
          <w:sz w:val="24"/>
          <w:szCs w:val="24"/>
          <w:highlight w:val="none"/>
          <w:lang w:val="en-US" w:eastAsia="zh-CN"/>
        </w:rPr>
        <w:t>一年，以双方签订的合同约定时间为准。</w:t>
      </w:r>
    </w:p>
    <w:p w14:paraId="45D6C259">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本项目</w:t>
      </w:r>
      <w:r>
        <w:rPr>
          <w:rFonts w:hint="eastAsia" w:ascii="微软雅黑" w:hAnsi="微软雅黑" w:eastAsia="微软雅黑" w:cs="微软雅黑"/>
          <w:i w:val="0"/>
          <w:iCs w:val="0"/>
          <w:caps w:val="0"/>
          <w:color w:val="000000"/>
          <w:spacing w:val="0"/>
          <w:sz w:val="24"/>
          <w:szCs w:val="24"/>
          <w:highlight w:val="none"/>
          <w:lang w:eastAsia="zh-CN"/>
        </w:rPr>
        <w:t>（</w:t>
      </w:r>
      <w:r>
        <w:rPr>
          <w:rFonts w:hint="eastAsia" w:ascii="微软雅黑" w:hAnsi="微软雅黑" w:eastAsia="微软雅黑" w:cs="微软雅黑"/>
          <w:i w:val="0"/>
          <w:iCs w:val="0"/>
          <w:caps w:val="0"/>
          <w:color w:val="000000"/>
          <w:spacing w:val="0"/>
          <w:sz w:val="24"/>
          <w:szCs w:val="24"/>
          <w:highlight w:val="none"/>
          <w:lang w:val="en-US" w:eastAsia="zh-CN"/>
        </w:rPr>
        <w:t>否</w:t>
      </w:r>
      <w:r>
        <w:rPr>
          <w:rFonts w:hint="eastAsia" w:ascii="微软雅黑" w:hAnsi="微软雅黑" w:eastAsia="微软雅黑" w:cs="微软雅黑"/>
          <w:i w:val="0"/>
          <w:iCs w:val="0"/>
          <w:caps w:val="0"/>
          <w:color w:val="000000"/>
          <w:spacing w:val="0"/>
          <w:sz w:val="24"/>
          <w:szCs w:val="24"/>
          <w:highlight w:val="none"/>
          <w:lang w:eastAsia="zh-CN"/>
        </w:rPr>
        <w:t>）</w:t>
      </w:r>
      <w:r>
        <w:rPr>
          <w:rFonts w:hint="eastAsia" w:ascii="微软雅黑" w:hAnsi="微软雅黑" w:eastAsia="微软雅黑" w:cs="微软雅黑"/>
          <w:i w:val="0"/>
          <w:iCs w:val="0"/>
          <w:caps w:val="0"/>
          <w:color w:val="000000"/>
          <w:spacing w:val="0"/>
          <w:sz w:val="24"/>
          <w:szCs w:val="24"/>
          <w:highlight w:val="none"/>
        </w:rPr>
        <w:t>接受联合体投标。</w:t>
      </w:r>
    </w:p>
    <w:p w14:paraId="5255CBEE">
      <w:pPr>
        <w:pStyle w:val="19"/>
        <w:keepNext w:val="0"/>
        <w:keepLines w:val="0"/>
        <w:pageBreakBefore w:val="0"/>
        <w:widowControl w:val="0"/>
        <w:suppressLineNumbers w:val="0"/>
        <w:shd w:val="clear"/>
        <w:kinsoku/>
        <w:wordWrap w:val="0"/>
        <w:overflowPunct/>
        <w:bidi w:val="0"/>
        <w:spacing w:before="255" w:beforeAutospacing="0" w:after="255" w:afterAutospacing="0" w:line="240" w:lineRule="auto"/>
        <w:ind w:left="0" w:right="0"/>
        <w:jc w:val="both"/>
        <w:rPr>
          <w:rFonts w:ascii="黑体" w:hAnsi="宋体" w:eastAsia="黑体" w:cs="黑体"/>
          <w:sz w:val="24"/>
          <w:szCs w:val="24"/>
          <w:highlight w:val="none"/>
        </w:rPr>
      </w:pPr>
      <w:r>
        <w:rPr>
          <w:rStyle w:val="26"/>
          <w:rFonts w:hint="eastAsia" w:ascii="微软雅黑" w:hAnsi="微软雅黑" w:eastAsia="微软雅黑" w:cs="微软雅黑"/>
          <w:i w:val="0"/>
          <w:iCs w:val="0"/>
          <w:caps w:val="0"/>
          <w:color w:val="000000"/>
          <w:spacing w:val="0"/>
          <w:sz w:val="24"/>
          <w:szCs w:val="24"/>
          <w:highlight w:val="none"/>
        </w:rPr>
        <w:t>二、申请人的资格要求</w:t>
      </w:r>
      <w:r>
        <w:rPr>
          <w:rFonts w:ascii="黑体" w:hAnsi="宋体" w:eastAsia="黑体" w:cs="黑体"/>
          <w:i w:val="0"/>
          <w:iCs w:val="0"/>
          <w:caps w:val="0"/>
          <w:color w:val="000000"/>
          <w:spacing w:val="0"/>
          <w:sz w:val="24"/>
          <w:szCs w:val="24"/>
          <w:highlight w:val="none"/>
        </w:rPr>
        <w:t>     </w:t>
      </w:r>
    </w:p>
    <w:p w14:paraId="6DB70A1E">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仿宋" w:hAnsi="仿宋" w:eastAsia="仿宋" w:cs="仿宋"/>
          <w:sz w:val="24"/>
          <w:szCs w:val="24"/>
          <w:highlight w:val="none"/>
        </w:rPr>
      </w:pPr>
      <w:r>
        <w:rPr>
          <w:rFonts w:hint="eastAsia" w:ascii="微软雅黑" w:hAnsi="微软雅黑" w:eastAsia="微软雅黑" w:cs="微软雅黑"/>
          <w:i w:val="0"/>
          <w:iCs w:val="0"/>
          <w:caps w:val="0"/>
          <w:color w:val="000000"/>
          <w:spacing w:val="0"/>
          <w:sz w:val="24"/>
          <w:szCs w:val="24"/>
          <w:highlight w:val="none"/>
        </w:rPr>
        <w:t>1.满足《中华人民共和国政府采购法》第二十二条规定；</w:t>
      </w:r>
      <w:r>
        <w:rPr>
          <w:rFonts w:hint="eastAsia" w:ascii="仿宋" w:hAnsi="仿宋" w:eastAsia="仿宋" w:cs="仿宋"/>
          <w:i w:val="0"/>
          <w:iCs w:val="0"/>
          <w:caps w:val="0"/>
          <w:color w:val="000000"/>
          <w:spacing w:val="0"/>
          <w:sz w:val="24"/>
          <w:szCs w:val="24"/>
          <w:highlight w:val="none"/>
        </w:rPr>
        <w:t>    </w:t>
      </w:r>
    </w:p>
    <w:p w14:paraId="37F8EE2C">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仿宋" w:hAnsi="仿宋" w:eastAsia="仿宋" w:cs="仿宋"/>
          <w:sz w:val="24"/>
          <w:szCs w:val="24"/>
          <w:highlight w:val="none"/>
        </w:rPr>
      </w:pPr>
      <w:r>
        <w:rPr>
          <w:rFonts w:hint="eastAsia" w:ascii="微软雅黑" w:hAnsi="微软雅黑" w:eastAsia="微软雅黑" w:cs="微软雅黑"/>
          <w:i w:val="0"/>
          <w:iCs w:val="0"/>
          <w:caps w:val="0"/>
          <w:color w:val="000000"/>
          <w:spacing w:val="0"/>
          <w:sz w:val="24"/>
          <w:szCs w:val="24"/>
          <w:highlight w:val="none"/>
        </w:rPr>
        <w:t>2.落实政府采购政策需满足的资格要求：</w:t>
      </w:r>
      <w:r>
        <w:rPr>
          <w:rFonts w:hint="eastAsia" w:ascii="微软雅黑" w:hAnsi="微软雅黑" w:eastAsia="微软雅黑" w:cs="微软雅黑"/>
          <w:i w:val="0"/>
          <w:iCs w:val="0"/>
          <w:caps w:val="0"/>
          <w:color w:val="000000"/>
          <w:spacing w:val="0"/>
          <w:sz w:val="24"/>
          <w:szCs w:val="24"/>
          <w:highlight w:val="none"/>
          <w:lang w:val="en-US" w:eastAsia="zh-CN"/>
        </w:rPr>
        <w:t>标项</w:t>
      </w:r>
      <w:r>
        <w:rPr>
          <w:rFonts w:hint="eastAsia" w:ascii="微软雅黑" w:hAnsi="微软雅黑" w:eastAsia="微软雅黑" w:cs="微软雅黑"/>
          <w:i w:val="0"/>
          <w:iCs w:val="0"/>
          <w:caps w:val="0"/>
          <w:color w:val="000000"/>
          <w:spacing w:val="0"/>
          <w:sz w:val="24"/>
          <w:szCs w:val="24"/>
          <w:highlight w:val="none"/>
        </w:rPr>
        <w:t>1</w:t>
      </w:r>
      <w:r>
        <w:rPr>
          <w:rStyle w:val="29"/>
          <w:rFonts w:hint="eastAsia" w:ascii="微软雅黑" w:hAnsi="微软雅黑" w:eastAsia="微软雅黑" w:cs="微软雅黑"/>
          <w:i w:val="0"/>
          <w:iCs w:val="0"/>
          <w:caps w:val="0"/>
          <w:color w:val="000000"/>
          <w:spacing w:val="0"/>
          <w:sz w:val="24"/>
          <w:szCs w:val="24"/>
          <w:highlight w:val="none"/>
        </w:rPr>
        <w:t>：无</w:t>
      </w:r>
      <w:r>
        <w:rPr>
          <w:rFonts w:hint="eastAsia" w:ascii="仿宋" w:hAnsi="仿宋" w:eastAsia="仿宋" w:cs="仿宋"/>
          <w:i w:val="0"/>
          <w:iCs w:val="0"/>
          <w:caps w:val="0"/>
          <w:color w:val="000000"/>
          <w:spacing w:val="0"/>
          <w:sz w:val="24"/>
          <w:szCs w:val="24"/>
          <w:highlight w:val="none"/>
        </w:rPr>
        <w:t>   </w:t>
      </w:r>
    </w:p>
    <w:p w14:paraId="424DA367">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eastAsia" w:ascii="仿宋" w:hAnsi="仿宋" w:eastAsia="仿宋" w:cs="仿宋"/>
          <w:sz w:val="24"/>
          <w:szCs w:val="24"/>
          <w:highlight w:val="none"/>
        </w:rPr>
      </w:pPr>
      <w:r>
        <w:rPr>
          <w:rFonts w:hint="eastAsia" w:ascii="微软雅黑" w:hAnsi="微软雅黑" w:eastAsia="微软雅黑" w:cs="微软雅黑"/>
          <w:i w:val="0"/>
          <w:iCs w:val="0"/>
          <w:caps w:val="0"/>
          <w:color w:val="000000"/>
          <w:spacing w:val="0"/>
          <w:sz w:val="24"/>
          <w:szCs w:val="24"/>
          <w:highlight w:val="none"/>
        </w:rPr>
        <w:t>3.本项目的特定资格要求：</w:t>
      </w:r>
      <w:r>
        <w:rPr>
          <w:rFonts w:hint="eastAsia" w:ascii="微软雅黑" w:hAnsi="微软雅黑" w:eastAsia="微软雅黑" w:cs="微软雅黑"/>
          <w:i w:val="0"/>
          <w:iCs w:val="0"/>
          <w:caps w:val="0"/>
          <w:color w:val="000000"/>
          <w:spacing w:val="0"/>
          <w:sz w:val="24"/>
          <w:szCs w:val="24"/>
          <w:highlight w:val="none"/>
          <w:lang w:val="en-US" w:eastAsia="zh-CN"/>
        </w:rPr>
        <w:t>标项</w:t>
      </w:r>
      <w:r>
        <w:rPr>
          <w:rFonts w:hint="eastAsia" w:ascii="微软雅黑" w:hAnsi="微软雅黑" w:eastAsia="微软雅黑" w:cs="微软雅黑"/>
          <w:i w:val="0"/>
          <w:iCs w:val="0"/>
          <w:caps w:val="0"/>
          <w:color w:val="000000"/>
          <w:spacing w:val="0"/>
          <w:sz w:val="24"/>
          <w:szCs w:val="24"/>
          <w:highlight w:val="none"/>
        </w:rPr>
        <w:t>1</w:t>
      </w:r>
      <w:r>
        <w:rPr>
          <w:rStyle w:val="29"/>
          <w:rFonts w:hint="eastAsia" w:ascii="微软雅黑" w:hAnsi="微软雅黑" w:eastAsia="微软雅黑" w:cs="微软雅黑"/>
          <w:i w:val="0"/>
          <w:iCs w:val="0"/>
          <w:caps w:val="0"/>
          <w:color w:val="000000"/>
          <w:spacing w:val="0"/>
          <w:sz w:val="24"/>
          <w:szCs w:val="24"/>
          <w:highlight w:val="none"/>
        </w:rPr>
        <w:t>：无</w:t>
      </w:r>
      <w:r>
        <w:rPr>
          <w:rFonts w:hint="eastAsia" w:ascii="仿宋" w:hAnsi="仿宋" w:eastAsia="仿宋" w:cs="仿宋"/>
          <w:i w:val="0"/>
          <w:iCs w:val="0"/>
          <w:caps w:val="0"/>
          <w:color w:val="000000"/>
          <w:spacing w:val="0"/>
          <w:sz w:val="24"/>
          <w:szCs w:val="24"/>
          <w:highlight w:val="none"/>
        </w:rPr>
        <w:t>   </w:t>
      </w:r>
    </w:p>
    <w:p w14:paraId="3F9C9C80">
      <w:pPr>
        <w:pStyle w:val="19"/>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sz w:val="24"/>
          <w:szCs w:val="24"/>
          <w:highlight w:val="none"/>
        </w:rPr>
      </w:pPr>
      <w:r>
        <w:rPr>
          <w:rStyle w:val="26"/>
          <w:rFonts w:hint="eastAsia" w:ascii="微软雅黑" w:hAnsi="微软雅黑" w:eastAsia="微软雅黑" w:cs="微软雅黑"/>
          <w:i w:val="0"/>
          <w:iCs w:val="0"/>
          <w:caps w:val="0"/>
          <w:color w:val="000000"/>
          <w:spacing w:val="0"/>
          <w:sz w:val="24"/>
          <w:szCs w:val="24"/>
          <w:highlight w:val="none"/>
        </w:rPr>
        <w:t>三、获取招标文件</w:t>
      </w:r>
      <w:r>
        <w:rPr>
          <w:rFonts w:ascii="黑体" w:hAnsi="宋体" w:eastAsia="黑体" w:cs="黑体"/>
          <w:i w:val="0"/>
          <w:iCs w:val="0"/>
          <w:caps w:val="0"/>
          <w:color w:val="000000"/>
          <w:spacing w:val="0"/>
          <w:sz w:val="24"/>
          <w:szCs w:val="24"/>
          <w:highlight w:val="none"/>
        </w:rPr>
        <w:t>    </w:t>
      </w:r>
    </w:p>
    <w:p w14:paraId="0FDA616B">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sz w:val="24"/>
          <w:szCs w:val="24"/>
          <w:highlight w:val="none"/>
        </w:rPr>
      </w:pPr>
      <w:r>
        <w:rPr>
          <w:rFonts w:hint="eastAsia" w:ascii="微软雅黑" w:hAnsi="微软雅黑" w:eastAsia="微软雅黑" w:cs="微软雅黑"/>
          <w:i w:val="0"/>
          <w:iCs w:val="0"/>
          <w:caps w:val="0"/>
          <w:color w:val="000000"/>
          <w:spacing w:val="0"/>
          <w:sz w:val="24"/>
          <w:szCs w:val="24"/>
          <w:highlight w:val="none"/>
          <w:u w:val="none"/>
        </w:rPr>
        <w:t>时间：</w:t>
      </w:r>
      <w:r>
        <w:rPr>
          <w:rStyle w:val="29"/>
          <w:rFonts w:hint="eastAsia" w:ascii="微软雅黑" w:hAnsi="微软雅黑" w:eastAsia="微软雅黑" w:cs="微软雅黑"/>
          <w:i w:val="0"/>
          <w:iCs w:val="0"/>
          <w:caps w:val="0"/>
          <w:color w:val="000000"/>
          <w:spacing w:val="0"/>
          <w:sz w:val="24"/>
          <w:szCs w:val="24"/>
          <w:highlight w:val="none"/>
          <w:u w:val="none"/>
        </w:rPr>
        <w:t>2025年</w:t>
      </w:r>
      <w:r>
        <w:rPr>
          <w:rStyle w:val="29"/>
          <w:rFonts w:hint="eastAsia" w:ascii="微软雅黑" w:hAnsi="微软雅黑" w:eastAsia="微软雅黑" w:cs="微软雅黑"/>
          <w:i w:val="0"/>
          <w:iCs w:val="0"/>
          <w:caps w:val="0"/>
          <w:color w:val="000000"/>
          <w:spacing w:val="0"/>
          <w:sz w:val="24"/>
          <w:szCs w:val="24"/>
          <w:highlight w:val="none"/>
          <w:u w:val="none"/>
          <w:lang w:val="en-US" w:eastAsia="zh-CN"/>
        </w:rPr>
        <w:t>6</w:t>
      </w:r>
      <w:r>
        <w:rPr>
          <w:rStyle w:val="29"/>
          <w:rFonts w:hint="eastAsia" w:ascii="微软雅黑" w:hAnsi="微软雅黑" w:eastAsia="微软雅黑" w:cs="微软雅黑"/>
          <w:i w:val="0"/>
          <w:iCs w:val="0"/>
          <w:caps w:val="0"/>
          <w:color w:val="000000"/>
          <w:spacing w:val="0"/>
          <w:sz w:val="24"/>
          <w:szCs w:val="24"/>
          <w:highlight w:val="none"/>
          <w:u w:val="none"/>
        </w:rPr>
        <w:t>月</w:t>
      </w:r>
      <w:r>
        <w:rPr>
          <w:rStyle w:val="29"/>
          <w:rFonts w:hint="eastAsia" w:ascii="微软雅黑" w:hAnsi="微软雅黑" w:eastAsia="微软雅黑" w:cs="微软雅黑"/>
          <w:i w:val="0"/>
          <w:iCs w:val="0"/>
          <w:caps w:val="0"/>
          <w:color w:val="000000"/>
          <w:spacing w:val="0"/>
          <w:sz w:val="24"/>
          <w:szCs w:val="24"/>
          <w:highlight w:val="none"/>
          <w:u w:val="none"/>
          <w:lang w:val="en-US" w:eastAsia="zh-CN"/>
        </w:rPr>
        <w:t>10</w:t>
      </w:r>
      <w:r>
        <w:rPr>
          <w:rStyle w:val="29"/>
          <w:rFonts w:hint="eastAsia" w:ascii="微软雅黑" w:hAnsi="微软雅黑" w:eastAsia="微软雅黑" w:cs="微软雅黑"/>
          <w:i w:val="0"/>
          <w:iCs w:val="0"/>
          <w:caps w:val="0"/>
          <w:color w:val="000000"/>
          <w:spacing w:val="0"/>
          <w:sz w:val="24"/>
          <w:szCs w:val="24"/>
          <w:highlight w:val="none"/>
          <w:u w:val="none"/>
        </w:rPr>
        <w:t>日</w:t>
      </w:r>
      <w:r>
        <w:rPr>
          <w:rFonts w:hint="eastAsia" w:ascii="微软雅黑" w:hAnsi="微软雅黑" w:eastAsia="微软雅黑" w:cs="微软雅黑"/>
          <w:i w:val="0"/>
          <w:iCs w:val="0"/>
          <w:caps w:val="0"/>
          <w:color w:val="000000"/>
          <w:spacing w:val="0"/>
          <w:sz w:val="24"/>
          <w:szCs w:val="24"/>
          <w:highlight w:val="none"/>
          <w:u w:val="none"/>
        </w:rPr>
        <w:t>至</w:t>
      </w:r>
      <w:r>
        <w:rPr>
          <w:rStyle w:val="29"/>
          <w:rFonts w:hint="eastAsia" w:ascii="微软雅黑" w:hAnsi="微软雅黑" w:eastAsia="微软雅黑" w:cs="微软雅黑"/>
          <w:i w:val="0"/>
          <w:iCs w:val="0"/>
          <w:caps w:val="0"/>
          <w:color w:val="000000"/>
          <w:spacing w:val="0"/>
          <w:sz w:val="24"/>
          <w:szCs w:val="24"/>
          <w:highlight w:val="none"/>
          <w:u w:val="none"/>
        </w:rPr>
        <w:t>2025年</w:t>
      </w:r>
      <w:r>
        <w:rPr>
          <w:rStyle w:val="29"/>
          <w:rFonts w:hint="eastAsia" w:ascii="微软雅黑" w:hAnsi="微软雅黑" w:eastAsia="微软雅黑" w:cs="微软雅黑"/>
          <w:i w:val="0"/>
          <w:iCs w:val="0"/>
          <w:caps w:val="0"/>
          <w:color w:val="000000"/>
          <w:spacing w:val="0"/>
          <w:sz w:val="24"/>
          <w:szCs w:val="24"/>
          <w:highlight w:val="none"/>
          <w:u w:val="none"/>
          <w:lang w:val="en-US" w:eastAsia="zh-CN"/>
        </w:rPr>
        <w:t>6</w:t>
      </w:r>
      <w:r>
        <w:rPr>
          <w:rStyle w:val="29"/>
          <w:rFonts w:hint="eastAsia" w:ascii="微软雅黑" w:hAnsi="微软雅黑" w:eastAsia="微软雅黑" w:cs="微软雅黑"/>
          <w:i w:val="0"/>
          <w:iCs w:val="0"/>
          <w:caps w:val="0"/>
          <w:color w:val="000000"/>
          <w:spacing w:val="0"/>
          <w:sz w:val="24"/>
          <w:szCs w:val="24"/>
          <w:highlight w:val="none"/>
          <w:u w:val="none"/>
        </w:rPr>
        <w:t>月</w:t>
      </w:r>
      <w:r>
        <w:rPr>
          <w:rStyle w:val="29"/>
          <w:rFonts w:hint="eastAsia" w:ascii="微软雅黑" w:hAnsi="微软雅黑" w:eastAsia="微软雅黑" w:cs="微软雅黑"/>
          <w:i w:val="0"/>
          <w:iCs w:val="0"/>
          <w:caps w:val="0"/>
          <w:color w:val="000000"/>
          <w:spacing w:val="0"/>
          <w:sz w:val="24"/>
          <w:szCs w:val="24"/>
          <w:highlight w:val="none"/>
          <w:u w:val="none"/>
          <w:lang w:val="en-US" w:eastAsia="zh-CN"/>
        </w:rPr>
        <w:t>17</w:t>
      </w:r>
      <w:r>
        <w:rPr>
          <w:rStyle w:val="29"/>
          <w:rFonts w:hint="eastAsia" w:ascii="微软雅黑" w:hAnsi="微软雅黑" w:eastAsia="微软雅黑" w:cs="微软雅黑"/>
          <w:i w:val="0"/>
          <w:iCs w:val="0"/>
          <w:caps w:val="0"/>
          <w:color w:val="000000"/>
          <w:spacing w:val="0"/>
          <w:sz w:val="24"/>
          <w:szCs w:val="24"/>
          <w:highlight w:val="none"/>
          <w:u w:val="none"/>
        </w:rPr>
        <w:t>日</w:t>
      </w:r>
      <w:r>
        <w:rPr>
          <w:rFonts w:hint="eastAsia" w:ascii="微软雅黑" w:hAnsi="微软雅黑" w:eastAsia="微软雅黑" w:cs="微软雅黑"/>
          <w:i w:val="0"/>
          <w:iCs w:val="0"/>
          <w:caps w:val="0"/>
          <w:color w:val="000000"/>
          <w:spacing w:val="0"/>
          <w:sz w:val="24"/>
          <w:szCs w:val="24"/>
          <w:highlight w:val="none"/>
          <w:u w:val="none"/>
        </w:rPr>
        <w:t>，每天上午</w:t>
      </w:r>
      <w:r>
        <w:rPr>
          <w:rStyle w:val="29"/>
          <w:rFonts w:hint="eastAsia" w:ascii="微软雅黑" w:hAnsi="微软雅黑" w:eastAsia="微软雅黑" w:cs="微软雅黑"/>
          <w:i w:val="0"/>
          <w:iCs w:val="0"/>
          <w:caps w:val="0"/>
          <w:color w:val="000000"/>
          <w:spacing w:val="0"/>
          <w:sz w:val="24"/>
          <w:szCs w:val="24"/>
          <w:highlight w:val="none"/>
          <w:u w:val="none"/>
        </w:rPr>
        <w:t>00:00至12:00</w:t>
      </w:r>
      <w:r>
        <w:rPr>
          <w:rFonts w:hint="eastAsia" w:ascii="微软雅黑" w:hAnsi="微软雅黑" w:eastAsia="微软雅黑" w:cs="微软雅黑"/>
          <w:i w:val="0"/>
          <w:iCs w:val="0"/>
          <w:caps w:val="0"/>
          <w:color w:val="000000"/>
          <w:spacing w:val="0"/>
          <w:sz w:val="24"/>
          <w:szCs w:val="24"/>
          <w:highlight w:val="none"/>
          <w:u w:val="none"/>
        </w:rPr>
        <w:t>，下午</w:t>
      </w:r>
      <w:r>
        <w:rPr>
          <w:rStyle w:val="29"/>
          <w:rFonts w:hint="eastAsia" w:ascii="微软雅黑" w:hAnsi="微软雅黑" w:eastAsia="微软雅黑" w:cs="微软雅黑"/>
          <w:i w:val="0"/>
          <w:iCs w:val="0"/>
          <w:caps w:val="0"/>
          <w:color w:val="000000"/>
          <w:spacing w:val="0"/>
          <w:sz w:val="24"/>
          <w:szCs w:val="24"/>
          <w:highlight w:val="none"/>
          <w:u w:val="none"/>
        </w:rPr>
        <w:t>12:00至23:59</w:t>
      </w:r>
      <w:r>
        <w:rPr>
          <w:rFonts w:hint="eastAsia" w:ascii="微软雅黑" w:hAnsi="微软雅黑" w:eastAsia="微软雅黑" w:cs="微软雅黑"/>
          <w:i w:val="0"/>
          <w:iCs w:val="0"/>
          <w:caps w:val="0"/>
          <w:color w:val="000000"/>
          <w:spacing w:val="0"/>
          <w:sz w:val="24"/>
          <w:szCs w:val="24"/>
          <w:highlight w:val="none"/>
          <w:u w:val="none"/>
        </w:rPr>
        <w:t>（北京时间，法定节假日除外）</w:t>
      </w:r>
      <w:r>
        <w:rPr>
          <w:rFonts w:hint="eastAsia" w:ascii="仿宋" w:hAnsi="仿宋" w:eastAsia="仿宋" w:cs="仿宋"/>
          <w:i w:val="0"/>
          <w:iCs w:val="0"/>
          <w:caps w:val="0"/>
          <w:color w:val="000000"/>
          <w:spacing w:val="0"/>
          <w:sz w:val="24"/>
          <w:szCs w:val="24"/>
          <w:highlight w:val="none"/>
        </w:rPr>
        <w:t>        </w:t>
      </w:r>
    </w:p>
    <w:p w14:paraId="37F6EBB3">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sz w:val="24"/>
          <w:szCs w:val="24"/>
          <w:highlight w:val="none"/>
        </w:rPr>
      </w:pPr>
      <w:r>
        <w:rPr>
          <w:rFonts w:hint="eastAsia" w:ascii="微软雅黑" w:hAnsi="微软雅黑" w:eastAsia="微软雅黑" w:cs="微软雅黑"/>
          <w:i w:val="0"/>
          <w:iCs w:val="0"/>
          <w:caps w:val="0"/>
          <w:color w:val="000000"/>
          <w:spacing w:val="0"/>
          <w:sz w:val="24"/>
          <w:szCs w:val="24"/>
          <w:highlight w:val="none"/>
        </w:rPr>
        <w:t>地点：</w:t>
      </w:r>
      <w:r>
        <w:rPr>
          <w:rStyle w:val="29"/>
          <w:rFonts w:hint="eastAsia" w:ascii="微软雅黑" w:hAnsi="微软雅黑" w:eastAsia="微软雅黑" w:cs="微软雅黑"/>
          <w:i w:val="0"/>
          <w:iCs w:val="0"/>
          <w:caps w:val="0"/>
          <w:color w:val="000000"/>
          <w:spacing w:val="0"/>
          <w:sz w:val="24"/>
          <w:szCs w:val="24"/>
          <w:highlight w:val="none"/>
        </w:rPr>
        <w:t>政采云平台线上获取</w:t>
      </w:r>
    </w:p>
    <w:p w14:paraId="2EA70CF2">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sz w:val="24"/>
          <w:szCs w:val="24"/>
          <w:highlight w:val="none"/>
        </w:rPr>
      </w:pPr>
      <w:r>
        <w:rPr>
          <w:rFonts w:hint="eastAsia" w:ascii="微软雅黑" w:hAnsi="微软雅黑" w:eastAsia="微软雅黑" w:cs="微软雅黑"/>
          <w:i w:val="0"/>
          <w:iCs w:val="0"/>
          <w:caps w:val="0"/>
          <w:color w:val="000000"/>
          <w:spacing w:val="0"/>
          <w:sz w:val="24"/>
          <w:szCs w:val="24"/>
          <w:highlight w:val="none"/>
        </w:rPr>
        <w:t>方式：</w:t>
      </w:r>
      <w:r>
        <w:rPr>
          <w:rStyle w:val="29"/>
          <w:rFonts w:hint="eastAsia" w:ascii="微软雅黑" w:hAnsi="微软雅黑" w:eastAsia="微软雅黑" w:cs="微软雅黑"/>
          <w:i w:val="0"/>
          <w:iCs w:val="0"/>
          <w:caps w:val="0"/>
          <w:color w:val="000000"/>
          <w:spacing w:val="0"/>
          <w:sz w:val="24"/>
          <w:szCs w:val="24"/>
          <w:highlight w:val="none"/>
        </w:rPr>
        <w:t>在线获取</w:t>
      </w:r>
    </w:p>
    <w:p w14:paraId="7AB5B4F3">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sz w:val="24"/>
          <w:szCs w:val="24"/>
          <w:highlight w:val="none"/>
        </w:rPr>
      </w:pPr>
      <w:r>
        <w:rPr>
          <w:rFonts w:hint="eastAsia" w:ascii="微软雅黑" w:hAnsi="微软雅黑" w:eastAsia="微软雅黑" w:cs="微软雅黑"/>
          <w:i w:val="0"/>
          <w:iCs w:val="0"/>
          <w:caps w:val="0"/>
          <w:color w:val="000000"/>
          <w:spacing w:val="0"/>
          <w:sz w:val="24"/>
          <w:szCs w:val="24"/>
          <w:highlight w:val="none"/>
        </w:rPr>
        <w:t>售价（元）：</w:t>
      </w:r>
      <w:r>
        <w:rPr>
          <w:rStyle w:val="29"/>
          <w:rFonts w:hint="eastAsia" w:ascii="微软雅黑" w:hAnsi="微软雅黑" w:eastAsia="微软雅黑" w:cs="微软雅黑"/>
          <w:i w:val="0"/>
          <w:iCs w:val="0"/>
          <w:caps w:val="0"/>
          <w:color w:val="000000"/>
          <w:spacing w:val="0"/>
          <w:sz w:val="24"/>
          <w:szCs w:val="24"/>
          <w:highlight w:val="none"/>
        </w:rPr>
        <w:t>0</w:t>
      </w:r>
      <w:r>
        <w:rPr>
          <w:rFonts w:hint="eastAsia" w:ascii="仿宋" w:hAnsi="仿宋" w:eastAsia="仿宋" w:cs="仿宋"/>
          <w:i w:val="0"/>
          <w:iCs w:val="0"/>
          <w:caps w:val="0"/>
          <w:color w:val="000000"/>
          <w:spacing w:val="0"/>
          <w:sz w:val="24"/>
          <w:szCs w:val="24"/>
          <w:highlight w:val="none"/>
        </w:rPr>
        <w:t>       </w:t>
      </w:r>
    </w:p>
    <w:p w14:paraId="4948EF6E">
      <w:pPr>
        <w:pStyle w:val="19"/>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sz w:val="24"/>
          <w:szCs w:val="24"/>
          <w:highlight w:val="none"/>
        </w:rPr>
      </w:pPr>
      <w:r>
        <w:rPr>
          <w:rStyle w:val="26"/>
          <w:rFonts w:hint="eastAsia" w:ascii="微软雅黑" w:hAnsi="微软雅黑" w:eastAsia="微软雅黑" w:cs="微软雅黑"/>
          <w:i w:val="0"/>
          <w:iCs w:val="0"/>
          <w:caps w:val="0"/>
          <w:color w:val="000000"/>
          <w:spacing w:val="0"/>
          <w:sz w:val="24"/>
          <w:szCs w:val="24"/>
          <w:highlight w:val="none"/>
        </w:rPr>
        <w:t>四、提交投标文件截止时间、开标时间和地点</w:t>
      </w:r>
      <w:r>
        <w:rPr>
          <w:rFonts w:ascii="黑体" w:hAnsi="宋体" w:eastAsia="黑体" w:cs="黑体"/>
          <w:i w:val="0"/>
          <w:iCs w:val="0"/>
          <w:caps w:val="0"/>
          <w:color w:val="000000"/>
          <w:spacing w:val="0"/>
          <w:sz w:val="24"/>
          <w:szCs w:val="24"/>
          <w:highlight w:val="none"/>
        </w:rPr>
        <w:t>    </w:t>
      </w:r>
    </w:p>
    <w:p w14:paraId="27A7DEF8">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sz w:val="24"/>
          <w:szCs w:val="24"/>
          <w:highlight w:val="none"/>
        </w:rPr>
      </w:pPr>
      <w:r>
        <w:rPr>
          <w:rFonts w:hint="eastAsia" w:ascii="微软雅黑" w:hAnsi="微软雅黑" w:eastAsia="微软雅黑" w:cs="微软雅黑"/>
          <w:i w:val="0"/>
          <w:iCs w:val="0"/>
          <w:caps w:val="0"/>
          <w:color w:val="000000"/>
          <w:spacing w:val="0"/>
          <w:sz w:val="24"/>
          <w:szCs w:val="24"/>
          <w:highlight w:val="none"/>
          <w:u w:val="none"/>
        </w:rPr>
        <w:t>提交投标文件截止时间：</w:t>
      </w:r>
      <w:r>
        <w:rPr>
          <w:rStyle w:val="29"/>
          <w:rFonts w:hint="eastAsia" w:ascii="微软雅黑" w:hAnsi="微软雅黑" w:eastAsia="微软雅黑" w:cs="微软雅黑"/>
          <w:i w:val="0"/>
          <w:iCs w:val="0"/>
          <w:caps w:val="0"/>
          <w:color w:val="000000"/>
          <w:spacing w:val="0"/>
          <w:sz w:val="24"/>
          <w:szCs w:val="24"/>
          <w:highlight w:val="none"/>
        </w:rPr>
        <w:t>2025年</w:t>
      </w:r>
      <w:r>
        <w:rPr>
          <w:rStyle w:val="29"/>
          <w:rFonts w:hint="eastAsia" w:ascii="微软雅黑" w:hAnsi="微软雅黑" w:eastAsia="微软雅黑" w:cs="微软雅黑"/>
          <w:i w:val="0"/>
          <w:iCs w:val="0"/>
          <w:caps w:val="0"/>
          <w:color w:val="000000"/>
          <w:spacing w:val="0"/>
          <w:sz w:val="24"/>
          <w:szCs w:val="24"/>
          <w:highlight w:val="none"/>
          <w:lang w:val="en-US" w:eastAsia="zh-CN"/>
        </w:rPr>
        <w:t>06</w:t>
      </w:r>
      <w:r>
        <w:rPr>
          <w:rStyle w:val="29"/>
          <w:rFonts w:hint="eastAsia" w:ascii="微软雅黑" w:hAnsi="微软雅黑" w:eastAsia="微软雅黑" w:cs="微软雅黑"/>
          <w:i w:val="0"/>
          <w:iCs w:val="0"/>
          <w:caps w:val="0"/>
          <w:color w:val="000000"/>
          <w:spacing w:val="0"/>
          <w:sz w:val="24"/>
          <w:szCs w:val="24"/>
          <w:highlight w:val="none"/>
        </w:rPr>
        <w:t>月</w:t>
      </w:r>
      <w:r>
        <w:rPr>
          <w:rStyle w:val="29"/>
          <w:rFonts w:hint="eastAsia" w:ascii="微软雅黑" w:hAnsi="微软雅黑" w:eastAsia="微软雅黑" w:cs="微软雅黑"/>
          <w:i w:val="0"/>
          <w:iCs w:val="0"/>
          <w:caps w:val="0"/>
          <w:color w:val="000000"/>
          <w:spacing w:val="0"/>
          <w:sz w:val="24"/>
          <w:szCs w:val="24"/>
          <w:highlight w:val="none"/>
          <w:lang w:val="en-US" w:eastAsia="zh-CN"/>
        </w:rPr>
        <w:t>30</w:t>
      </w:r>
      <w:r>
        <w:rPr>
          <w:rStyle w:val="29"/>
          <w:rFonts w:hint="eastAsia" w:ascii="微软雅黑" w:hAnsi="微软雅黑" w:eastAsia="微软雅黑" w:cs="微软雅黑"/>
          <w:i w:val="0"/>
          <w:iCs w:val="0"/>
          <w:caps w:val="0"/>
          <w:color w:val="000000"/>
          <w:spacing w:val="0"/>
          <w:sz w:val="24"/>
          <w:szCs w:val="24"/>
          <w:highlight w:val="none"/>
        </w:rPr>
        <w:t>日 09:</w:t>
      </w:r>
      <w:r>
        <w:rPr>
          <w:rStyle w:val="29"/>
          <w:rFonts w:hint="eastAsia" w:ascii="微软雅黑" w:hAnsi="微软雅黑" w:eastAsia="微软雅黑" w:cs="微软雅黑"/>
          <w:i w:val="0"/>
          <w:iCs w:val="0"/>
          <w:caps w:val="0"/>
          <w:color w:val="000000"/>
          <w:spacing w:val="0"/>
          <w:sz w:val="24"/>
          <w:szCs w:val="24"/>
          <w:highlight w:val="none"/>
          <w:lang w:val="en-US" w:eastAsia="zh-CN"/>
        </w:rPr>
        <w:t>0</w:t>
      </w:r>
      <w:r>
        <w:rPr>
          <w:rStyle w:val="29"/>
          <w:rFonts w:hint="eastAsia" w:ascii="微软雅黑" w:hAnsi="微软雅黑" w:eastAsia="微软雅黑" w:cs="微软雅黑"/>
          <w:i w:val="0"/>
          <w:iCs w:val="0"/>
          <w:caps w:val="0"/>
          <w:color w:val="000000"/>
          <w:spacing w:val="0"/>
          <w:sz w:val="24"/>
          <w:szCs w:val="24"/>
          <w:highlight w:val="none"/>
        </w:rPr>
        <w:t>0</w:t>
      </w:r>
      <w:r>
        <w:rPr>
          <w:rFonts w:hint="eastAsia" w:ascii="微软雅黑" w:hAnsi="微软雅黑" w:eastAsia="微软雅黑" w:cs="微软雅黑"/>
          <w:i w:val="0"/>
          <w:iCs w:val="0"/>
          <w:caps w:val="0"/>
          <w:color w:val="000000"/>
          <w:spacing w:val="0"/>
          <w:sz w:val="24"/>
          <w:szCs w:val="24"/>
          <w:highlight w:val="none"/>
          <w:u w:val="none"/>
        </w:rPr>
        <w:t>（北京时间）</w:t>
      </w:r>
      <w:r>
        <w:rPr>
          <w:rFonts w:hint="eastAsia" w:ascii="仿宋" w:hAnsi="仿宋" w:eastAsia="仿宋" w:cs="仿宋"/>
          <w:i w:val="0"/>
          <w:iCs w:val="0"/>
          <w:caps w:val="0"/>
          <w:color w:val="000000"/>
          <w:spacing w:val="0"/>
          <w:sz w:val="24"/>
          <w:szCs w:val="24"/>
          <w:highlight w:val="none"/>
        </w:rPr>
        <w:t>        </w:t>
      </w:r>
    </w:p>
    <w:p w14:paraId="3B5DBE3D">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sz w:val="24"/>
          <w:szCs w:val="24"/>
          <w:highlight w:val="none"/>
        </w:rPr>
      </w:pPr>
      <w:r>
        <w:rPr>
          <w:rFonts w:hint="eastAsia" w:ascii="微软雅黑" w:hAnsi="微软雅黑" w:eastAsia="微软雅黑" w:cs="微软雅黑"/>
          <w:i w:val="0"/>
          <w:iCs w:val="0"/>
          <w:caps w:val="0"/>
          <w:color w:val="000000"/>
          <w:spacing w:val="0"/>
          <w:sz w:val="24"/>
          <w:szCs w:val="24"/>
          <w:highlight w:val="none"/>
          <w:u w:val="none"/>
        </w:rPr>
        <w:t>投标地点（网址）：</w:t>
      </w:r>
      <w:r>
        <w:rPr>
          <w:rStyle w:val="29"/>
          <w:rFonts w:hint="eastAsia" w:ascii="微软雅黑" w:hAnsi="微软雅黑" w:eastAsia="微软雅黑" w:cs="微软雅黑"/>
          <w:i w:val="0"/>
          <w:iCs w:val="0"/>
          <w:caps w:val="0"/>
          <w:color w:val="000000"/>
          <w:spacing w:val="0"/>
          <w:sz w:val="24"/>
          <w:szCs w:val="24"/>
          <w:highlight w:val="none"/>
          <w:u w:val="none"/>
        </w:rPr>
        <w:t>请登录政采云投标客户端投标</w:t>
      </w:r>
      <w:r>
        <w:rPr>
          <w:rFonts w:hint="eastAsia" w:ascii="仿宋" w:hAnsi="仿宋" w:eastAsia="仿宋" w:cs="仿宋"/>
          <w:i w:val="0"/>
          <w:iCs w:val="0"/>
          <w:caps w:val="0"/>
          <w:color w:val="000000"/>
          <w:spacing w:val="0"/>
          <w:sz w:val="24"/>
          <w:szCs w:val="24"/>
          <w:highlight w:val="none"/>
        </w:rPr>
        <w:t>     </w:t>
      </w:r>
    </w:p>
    <w:p w14:paraId="1D4EF9FE">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sz w:val="24"/>
          <w:szCs w:val="24"/>
          <w:highlight w:val="none"/>
        </w:rPr>
      </w:pPr>
      <w:r>
        <w:rPr>
          <w:rFonts w:hint="eastAsia" w:ascii="微软雅黑" w:hAnsi="微软雅黑" w:eastAsia="微软雅黑" w:cs="微软雅黑"/>
          <w:i w:val="0"/>
          <w:iCs w:val="0"/>
          <w:caps w:val="0"/>
          <w:color w:val="000000"/>
          <w:spacing w:val="0"/>
          <w:sz w:val="24"/>
          <w:szCs w:val="24"/>
          <w:highlight w:val="none"/>
          <w:u w:val="none"/>
        </w:rPr>
        <w:t>开标时间：</w:t>
      </w:r>
      <w:r>
        <w:rPr>
          <w:rStyle w:val="29"/>
          <w:rFonts w:hint="eastAsia" w:ascii="微软雅黑" w:hAnsi="微软雅黑" w:eastAsia="微软雅黑" w:cs="微软雅黑"/>
          <w:i w:val="0"/>
          <w:iCs w:val="0"/>
          <w:caps w:val="0"/>
          <w:color w:val="000000"/>
          <w:spacing w:val="0"/>
          <w:sz w:val="24"/>
          <w:szCs w:val="24"/>
          <w:highlight w:val="none"/>
        </w:rPr>
        <w:t>2025年</w:t>
      </w:r>
      <w:r>
        <w:rPr>
          <w:rStyle w:val="29"/>
          <w:rFonts w:hint="eastAsia" w:ascii="微软雅黑" w:hAnsi="微软雅黑" w:eastAsia="微软雅黑" w:cs="微软雅黑"/>
          <w:i w:val="0"/>
          <w:iCs w:val="0"/>
          <w:caps w:val="0"/>
          <w:color w:val="000000"/>
          <w:spacing w:val="0"/>
          <w:sz w:val="24"/>
          <w:szCs w:val="24"/>
          <w:highlight w:val="none"/>
          <w:lang w:val="en-US" w:eastAsia="zh-CN"/>
        </w:rPr>
        <w:t>06</w:t>
      </w:r>
      <w:r>
        <w:rPr>
          <w:rStyle w:val="29"/>
          <w:rFonts w:hint="eastAsia" w:ascii="微软雅黑" w:hAnsi="微软雅黑" w:eastAsia="微软雅黑" w:cs="微软雅黑"/>
          <w:i w:val="0"/>
          <w:iCs w:val="0"/>
          <w:caps w:val="0"/>
          <w:color w:val="000000"/>
          <w:spacing w:val="0"/>
          <w:sz w:val="24"/>
          <w:szCs w:val="24"/>
          <w:highlight w:val="none"/>
        </w:rPr>
        <w:t>月</w:t>
      </w:r>
      <w:r>
        <w:rPr>
          <w:rStyle w:val="29"/>
          <w:rFonts w:hint="eastAsia" w:ascii="微软雅黑" w:hAnsi="微软雅黑" w:eastAsia="微软雅黑" w:cs="微软雅黑"/>
          <w:i w:val="0"/>
          <w:iCs w:val="0"/>
          <w:caps w:val="0"/>
          <w:color w:val="000000"/>
          <w:spacing w:val="0"/>
          <w:sz w:val="24"/>
          <w:szCs w:val="24"/>
          <w:highlight w:val="none"/>
          <w:lang w:val="en-US" w:eastAsia="zh-CN"/>
        </w:rPr>
        <w:t>30</w:t>
      </w:r>
      <w:r>
        <w:rPr>
          <w:rStyle w:val="29"/>
          <w:rFonts w:hint="eastAsia" w:ascii="微软雅黑" w:hAnsi="微软雅黑" w:eastAsia="微软雅黑" w:cs="微软雅黑"/>
          <w:i w:val="0"/>
          <w:iCs w:val="0"/>
          <w:caps w:val="0"/>
          <w:color w:val="000000"/>
          <w:spacing w:val="0"/>
          <w:sz w:val="24"/>
          <w:szCs w:val="24"/>
          <w:highlight w:val="none"/>
        </w:rPr>
        <w:t>日 09:</w:t>
      </w:r>
      <w:r>
        <w:rPr>
          <w:rStyle w:val="29"/>
          <w:rFonts w:hint="eastAsia" w:ascii="微软雅黑" w:hAnsi="微软雅黑" w:eastAsia="微软雅黑" w:cs="微软雅黑"/>
          <w:i w:val="0"/>
          <w:iCs w:val="0"/>
          <w:caps w:val="0"/>
          <w:color w:val="000000"/>
          <w:spacing w:val="0"/>
          <w:sz w:val="24"/>
          <w:szCs w:val="24"/>
          <w:highlight w:val="none"/>
          <w:lang w:val="en-US" w:eastAsia="zh-CN"/>
        </w:rPr>
        <w:t>0</w:t>
      </w:r>
      <w:r>
        <w:rPr>
          <w:rStyle w:val="29"/>
          <w:rFonts w:hint="eastAsia" w:ascii="微软雅黑" w:hAnsi="微软雅黑" w:eastAsia="微软雅黑" w:cs="微软雅黑"/>
          <w:i w:val="0"/>
          <w:iCs w:val="0"/>
          <w:caps w:val="0"/>
          <w:color w:val="000000"/>
          <w:spacing w:val="0"/>
          <w:sz w:val="24"/>
          <w:szCs w:val="24"/>
          <w:highlight w:val="none"/>
        </w:rPr>
        <w:t>0</w:t>
      </w:r>
      <w:r>
        <w:rPr>
          <w:rFonts w:hint="eastAsia" w:ascii="仿宋" w:hAnsi="仿宋" w:eastAsia="仿宋" w:cs="仿宋"/>
          <w:i w:val="0"/>
          <w:iCs w:val="0"/>
          <w:caps w:val="0"/>
          <w:color w:val="000000"/>
          <w:spacing w:val="0"/>
          <w:sz w:val="24"/>
          <w:szCs w:val="24"/>
          <w:highlight w:val="none"/>
        </w:rPr>
        <w:t xml:space="preserve">       </w:t>
      </w:r>
    </w:p>
    <w:p w14:paraId="47A95857">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Fonts w:hint="default" w:ascii="微软雅黑" w:hAnsi="微软雅黑" w:eastAsia="微软雅黑" w:cs="微软雅黑"/>
          <w:i w:val="0"/>
          <w:iCs w:val="0"/>
          <w:caps w:val="0"/>
          <w:color w:val="000000"/>
          <w:spacing w:val="0"/>
          <w:sz w:val="24"/>
          <w:szCs w:val="24"/>
          <w:highlight w:val="none"/>
          <w:u w:val="none"/>
          <w:lang w:val="en-US"/>
        </w:rPr>
      </w:pPr>
      <w:r>
        <w:rPr>
          <w:rFonts w:hint="eastAsia" w:ascii="微软雅黑" w:hAnsi="微软雅黑" w:eastAsia="微软雅黑" w:cs="微软雅黑"/>
          <w:i w:val="0"/>
          <w:iCs w:val="0"/>
          <w:caps w:val="0"/>
          <w:color w:val="000000"/>
          <w:spacing w:val="0"/>
          <w:sz w:val="24"/>
          <w:szCs w:val="24"/>
          <w:highlight w:val="none"/>
          <w:u w:val="none"/>
        </w:rPr>
        <w:t>开标地点：</w:t>
      </w:r>
      <w:r>
        <w:rPr>
          <w:rFonts w:hint="eastAsia" w:ascii="微软雅黑" w:hAnsi="微软雅黑" w:eastAsia="微软雅黑" w:cs="微软雅黑"/>
          <w:i w:val="0"/>
          <w:iCs w:val="0"/>
          <w:caps w:val="0"/>
          <w:color w:val="000000"/>
          <w:spacing w:val="0"/>
          <w:sz w:val="24"/>
          <w:szCs w:val="24"/>
          <w:highlight w:val="none"/>
          <w:u w:val="none"/>
          <w:lang w:val="en-US" w:eastAsia="zh-CN"/>
        </w:rPr>
        <w:t>山西省太原市小店区创业街天和科技5层501开标室</w:t>
      </w:r>
    </w:p>
    <w:p w14:paraId="73FA54F7">
      <w:pPr>
        <w:pStyle w:val="19"/>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sz w:val="24"/>
          <w:szCs w:val="24"/>
          <w:highlight w:val="none"/>
        </w:rPr>
      </w:pPr>
      <w:r>
        <w:rPr>
          <w:rStyle w:val="26"/>
          <w:rFonts w:hint="eastAsia" w:ascii="微软雅黑" w:hAnsi="微软雅黑" w:eastAsia="微软雅黑" w:cs="微软雅黑"/>
          <w:i w:val="0"/>
          <w:iCs w:val="0"/>
          <w:caps w:val="0"/>
          <w:color w:val="000000"/>
          <w:spacing w:val="0"/>
          <w:sz w:val="24"/>
          <w:szCs w:val="24"/>
          <w:highlight w:val="none"/>
        </w:rPr>
        <w:t>五、公告期限</w:t>
      </w:r>
      <w:r>
        <w:rPr>
          <w:rFonts w:hint="eastAsia" w:ascii="微软雅黑" w:hAnsi="微软雅黑" w:eastAsia="微软雅黑" w:cs="微软雅黑"/>
          <w:i w:val="0"/>
          <w:iCs w:val="0"/>
          <w:caps w:val="0"/>
          <w:color w:val="000000"/>
          <w:spacing w:val="0"/>
          <w:sz w:val="24"/>
          <w:szCs w:val="24"/>
          <w:highlight w:val="none"/>
        </w:rPr>
        <w:t> </w:t>
      </w:r>
      <w:r>
        <w:rPr>
          <w:rFonts w:ascii="黑体" w:hAnsi="宋体" w:eastAsia="黑体" w:cs="黑体"/>
          <w:i w:val="0"/>
          <w:iCs w:val="0"/>
          <w:caps w:val="0"/>
          <w:color w:val="000000"/>
          <w:spacing w:val="0"/>
          <w:sz w:val="24"/>
          <w:szCs w:val="24"/>
          <w:highlight w:val="none"/>
        </w:rPr>
        <w:t>    </w:t>
      </w:r>
    </w:p>
    <w:p w14:paraId="1E3DF0AA">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sz w:val="24"/>
          <w:szCs w:val="24"/>
          <w:highlight w:val="none"/>
        </w:rPr>
      </w:pPr>
      <w:r>
        <w:rPr>
          <w:rFonts w:hint="eastAsia" w:ascii="微软雅黑" w:hAnsi="微软雅黑" w:eastAsia="微软雅黑" w:cs="微软雅黑"/>
          <w:i w:val="0"/>
          <w:iCs w:val="0"/>
          <w:caps w:val="0"/>
          <w:color w:val="000000"/>
          <w:spacing w:val="0"/>
          <w:sz w:val="24"/>
          <w:szCs w:val="24"/>
          <w:highlight w:val="none"/>
        </w:rPr>
        <w:t>自本公告发布之日起5个工作日。</w:t>
      </w:r>
      <w:r>
        <w:rPr>
          <w:rFonts w:ascii="微软雅黑" w:hAnsi="微软雅黑" w:eastAsia="微软雅黑" w:cs="微软雅黑"/>
          <w:i w:val="0"/>
          <w:iCs w:val="0"/>
          <w:caps w:val="0"/>
          <w:color w:val="000000"/>
          <w:spacing w:val="0"/>
          <w:sz w:val="24"/>
          <w:szCs w:val="24"/>
          <w:highlight w:val="none"/>
        </w:rPr>
        <w:t> </w:t>
      </w:r>
      <w:r>
        <w:rPr>
          <w:rFonts w:hint="eastAsia" w:ascii="微软雅黑" w:hAnsi="微软雅黑" w:eastAsia="微软雅黑" w:cs="微软雅黑"/>
          <w:i w:val="0"/>
          <w:iCs w:val="0"/>
          <w:caps w:val="0"/>
          <w:color w:val="000000"/>
          <w:spacing w:val="0"/>
          <w:sz w:val="24"/>
          <w:szCs w:val="24"/>
          <w:highlight w:val="none"/>
        </w:rPr>
        <w:t>   </w:t>
      </w:r>
    </w:p>
    <w:p w14:paraId="50E621FE">
      <w:pPr>
        <w:pStyle w:val="19"/>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sz w:val="24"/>
          <w:szCs w:val="24"/>
          <w:highlight w:val="none"/>
        </w:rPr>
      </w:pPr>
      <w:r>
        <w:rPr>
          <w:rStyle w:val="26"/>
          <w:rFonts w:hint="eastAsia" w:ascii="微软雅黑" w:hAnsi="微软雅黑" w:eastAsia="微软雅黑" w:cs="微软雅黑"/>
          <w:i w:val="0"/>
          <w:iCs w:val="0"/>
          <w:caps w:val="0"/>
          <w:color w:val="000000"/>
          <w:spacing w:val="0"/>
          <w:sz w:val="24"/>
          <w:szCs w:val="24"/>
          <w:highlight w:val="none"/>
        </w:rPr>
        <w:t>六、其他补充事宜</w:t>
      </w:r>
      <w:r>
        <w:rPr>
          <w:rFonts w:ascii="黑体" w:hAnsi="宋体" w:eastAsia="黑体" w:cs="黑体"/>
          <w:i w:val="0"/>
          <w:iCs w:val="0"/>
          <w:caps w:val="0"/>
          <w:color w:val="000000"/>
          <w:spacing w:val="0"/>
          <w:sz w:val="24"/>
          <w:szCs w:val="24"/>
          <w:highlight w:val="none"/>
        </w:rPr>
        <w:t>    </w:t>
      </w:r>
    </w:p>
    <w:p w14:paraId="76455AAC">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rPr>
      </w:pPr>
      <w:r>
        <w:rPr>
          <w:rStyle w:val="29"/>
          <w:rFonts w:hint="eastAsia" w:ascii="微软雅黑" w:hAnsi="微软雅黑" w:eastAsia="微软雅黑" w:cs="微软雅黑"/>
          <w:i w:val="0"/>
          <w:iCs w:val="0"/>
          <w:caps w:val="0"/>
          <w:color w:val="000000"/>
          <w:spacing w:val="0"/>
          <w:sz w:val="24"/>
          <w:szCs w:val="24"/>
          <w:highlight w:val="none"/>
        </w:rPr>
        <w:t>1.投标人须按照中国政府采购网山西分网（http://www.ccgp-shanxi.gov.cn/home.html）办事指南-下载专区的《山西-入驻与配置操作指南-供应商》《CA申领办理》《CA管理操作指南—CA登录》等相关操作指南进行投标。</w:t>
      </w:r>
    </w:p>
    <w:p w14:paraId="3930CEC4">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rPr>
      </w:pPr>
      <w:r>
        <w:rPr>
          <w:rStyle w:val="29"/>
          <w:rFonts w:hint="eastAsia" w:ascii="微软雅黑" w:hAnsi="微软雅黑" w:eastAsia="微软雅黑" w:cs="微软雅黑"/>
          <w:i w:val="0"/>
          <w:iCs w:val="0"/>
          <w:caps w:val="0"/>
          <w:color w:val="000000"/>
          <w:spacing w:val="0"/>
          <w:sz w:val="24"/>
          <w:szCs w:val="24"/>
          <w:highlight w:val="none"/>
          <w:lang w:val="en-US" w:eastAsia="zh-CN"/>
        </w:rPr>
        <w:t>2</w:t>
      </w:r>
      <w:r>
        <w:rPr>
          <w:rStyle w:val="29"/>
          <w:rFonts w:hint="eastAsia" w:ascii="微软雅黑" w:hAnsi="微软雅黑" w:eastAsia="微软雅黑" w:cs="微软雅黑"/>
          <w:i w:val="0"/>
          <w:iCs w:val="0"/>
          <w:caps w:val="0"/>
          <w:color w:val="000000"/>
          <w:spacing w:val="0"/>
          <w:sz w:val="24"/>
          <w:szCs w:val="24"/>
          <w:highlight w:val="none"/>
        </w:rPr>
        <w:t>.开标时投标人远程解密投标文件。</w:t>
      </w:r>
    </w:p>
    <w:p w14:paraId="7585A2B4">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rPr>
      </w:pPr>
      <w:r>
        <w:rPr>
          <w:rStyle w:val="29"/>
          <w:rFonts w:hint="eastAsia" w:ascii="微软雅黑" w:hAnsi="微软雅黑" w:eastAsia="微软雅黑" w:cs="微软雅黑"/>
          <w:i w:val="0"/>
          <w:iCs w:val="0"/>
          <w:caps w:val="0"/>
          <w:color w:val="000000"/>
          <w:spacing w:val="0"/>
          <w:sz w:val="24"/>
          <w:szCs w:val="24"/>
          <w:highlight w:val="none"/>
          <w:lang w:val="en-US" w:eastAsia="zh-CN"/>
        </w:rPr>
        <w:t>3.</w:t>
      </w:r>
      <w:r>
        <w:rPr>
          <w:rStyle w:val="29"/>
          <w:rFonts w:hint="eastAsia" w:ascii="微软雅黑" w:hAnsi="微软雅黑" w:eastAsia="微软雅黑" w:cs="微软雅黑"/>
          <w:i w:val="0"/>
          <w:iCs w:val="0"/>
          <w:caps w:val="0"/>
          <w:color w:val="000000"/>
          <w:spacing w:val="0"/>
          <w:sz w:val="24"/>
          <w:szCs w:val="24"/>
          <w:highlight w:val="none"/>
        </w:rPr>
        <w:t>潜在投标人对招标公告有异议时，应当在法律、法规规定的期限内，通过山西政府采购平台“项目质疑管理”栏向采购人、采购代理机构在线提起质疑。</w:t>
      </w:r>
    </w:p>
    <w:p w14:paraId="0BD62CA7">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rPr>
      </w:pPr>
      <w:r>
        <w:rPr>
          <w:rStyle w:val="29"/>
          <w:rFonts w:hint="eastAsia" w:ascii="微软雅黑" w:hAnsi="微软雅黑" w:eastAsia="微软雅黑" w:cs="微软雅黑"/>
          <w:i w:val="0"/>
          <w:iCs w:val="0"/>
          <w:caps w:val="0"/>
          <w:color w:val="000000"/>
          <w:spacing w:val="0"/>
          <w:sz w:val="24"/>
          <w:szCs w:val="24"/>
          <w:highlight w:val="none"/>
        </w:rPr>
        <w:t>监督部门：山西省财政厅政府采购管理处，监督电话：0351-4123278。</w:t>
      </w:r>
    </w:p>
    <w:p w14:paraId="7249762C">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sz w:val="24"/>
          <w:szCs w:val="24"/>
          <w:highlight w:val="none"/>
        </w:rPr>
      </w:pPr>
      <w:r>
        <w:rPr>
          <w:rStyle w:val="29"/>
          <w:rFonts w:hint="eastAsia" w:ascii="微软雅黑" w:hAnsi="微软雅黑" w:eastAsia="微软雅黑" w:cs="微软雅黑"/>
          <w:i w:val="0"/>
          <w:iCs w:val="0"/>
          <w:caps w:val="0"/>
          <w:color w:val="000000"/>
          <w:spacing w:val="0"/>
          <w:sz w:val="24"/>
          <w:szCs w:val="24"/>
          <w:highlight w:val="none"/>
          <w:lang w:val="en-US" w:eastAsia="zh-CN"/>
        </w:rPr>
        <w:t>4.</w:t>
      </w:r>
      <w:r>
        <w:rPr>
          <w:rStyle w:val="29"/>
          <w:rFonts w:hint="eastAsia" w:ascii="微软雅黑" w:hAnsi="微软雅黑" w:eastAsia="微软雅黑" w:cs="微软雅黑"/>
          <w:i w:val="0"/>
          <w:iCs w:val="0"/>
          <w:caps w:val="0"/>
          <w:color w:val="000000"/>
          <w:spacing w:val="0"/>
          <w:sz w:val="24"/>
          <w:szCs w:val="24"/>
          <w:highlight w:val="none"/>
        </w:rPr>
        <w:t>针对本项目的质疑需一次性提出，多次提出将不予受理</w:t>
      </w:r>
      <w:r>
        <w:rPr>
          <w:rStyle w:val="29"/>
          <w:rFonts w:hint="eastAsia" w:ascii="微软雅黑" w:hAnsi="微软雅黑" w:eastAsia="微软雅黑" w:cs="微软雅黑"/>
          <w:i w:val="0"/>
          <w:iCs w:val="0"/>
          <w:caps w:val="0"/>
          <w:color w:val="000000"/>
          <w:spacing w:val="0"/>
          <w:sz w:val="24"/>
          <w:szCs w:val="24"/>
          <w:highlight w:val="none"/>
          <w:lang w:eastAsia="zh-CN"/>
        </w:rPr>
        <w:t>。</w:t>
      </w:r>
      <w:bookmarkStart w:id="94" w:name="_GoBack"/>
      <w:bookmarkEnd w:id="94"/>
      <w:r>
        <w:rPr>
          <w:rFonts w:hint="eastAsia" w:ascii="微软雅黑" w:hAnsi="微软雅黑" w:eastAsia="微软雅黑" w:cs="微软雅黑"/>
          <w:i w:val="0"/>
          <w:iCs w:val="0"/>
          <w:caps w:val="0"/>
          <w:color w:val="000000"/>
          <w:spacing w:val="0"/>
          <w:sz w:val="24"/>
          <w:szCs w:val="24"/>
          <w:highlight w:val="none"/>
        </w:rPr>
        <w:t>      </w:t>
      </w:r>
    </w:p>
    <w:p w14:paraId="0FC5D743">
      <w:pPr>
        <w:pStyle w:val="19"/>
        <w:keepNext w:val="0"/>
        <w:keepLines w:val="0"/>
        <w:pageBreakBefore w:val="0"/>
        <w:widowControl w:val="0"/>
        <w:suppressLineNumbers w:val="0"/>
        <w:kinsoku/>
        <w:wordWrap w:val="0"/>
        <w:overflowPunct/>
        <w:bidi w:val="0"/>
        <w:spacing w:before="75" w:beforeAutospacing="0" w:after="75" w:afterAutospacing="0" w:line="315" w:lineRule="atLeast"/>
        <w:ind w:left="0" w:right="0"/>
        <w:rPr>
          <w:sz w:val="24"/>
          <w:szCs w:val="24"/>
          <w:highlight w:val="none"/>
        </w:rPr>
      </w:pPr>
      <w:r>
        <w:rPr>
          <w:rFonts w:hint="eastAsia" w:ascii="微软雅黑" w:hAnsi="微软雅黑" w:eastAsia="微软雅黑" w:cs="微软雅黑"/>
          <w:i w:val="0"/>
          <w:iCs w:val="0"/>
          <w:caps w:val="0"/>
          <w:color w:val="000000"/>
          <w:spacing w:val="0"/>
          <w:sz w:val="24"/>
          <w:szCs w:val="24"/>
          <w:highlight w:val="none"/>
        </w:rPr>
        <w:t xml:space="preserve">    </w:t>
      </w:r>
      <w:r>
        <w:rPr>
          <w:rFonts w:hint="eastAsia" w:ascii="微软雅黑" w:hAnsi="微软雅黑" w:eastAsia="微软雅黑" w:cs="微软雅黑"/>
          <w:i w:val="0"/>
          <w:iCs w:val="0"/>
          <w:caps w:val="0"/>
          <w:color w:val="000000"/>
          <w:spacing w:val="0"/>
          <w:sz w:val="24"/>
          <w:szCs w:val="24"/>
          <w:highlight w:val="none"/>
          <w:lang w:val="en-US" w:eastAsia="zh-CN"/>
        </w:rPr>
        <w:t>5.</w:t>
      </w:r>
      <w:r>
        <w:rPr>
          <w:rFonts w:hint="eastAsia" w:ascii="微软雅黑" w:hAnsi="微软雅黑" w:eastAsia="微软雅黑" w:cs="微软雅黑"/>
          <w:i w:val="0"/>
          <w:iCs w:val="0"/>
          <w:caps w:val="0"/>
          <w:color w:val="000000"/>
          <w:spacing w:val="0"/>
          <w:sz w:val="24"/>
          <w:szCs w:val="24"/>
          <w:highlight w:val="none"/>
        </w:rPr>
        <w:t>代理费支付方式： </w:t>
      </w:r>
      <w:r>
        <w:rPr>
          <w:rStyle w:val="29"/>
          <w:rFonts w:hint="eastAsia" w:ascii="微软雅黑" w:hAnsi="微软雅黑" w:eastAsia="微软雅黑" w:cs="微软雅黑"/>
          <w:i w:val="0"/>
          <w:iCs w:val="0"/>
          <w:caps w:val="0"/>
          <w:color w:val="000000"/>
          <w:spacing w:val="0"/>
          <w:sz w:val="24"/>
          <w:szCs w:val="24"/>
          <w:highlight w:val="none"/>
        </w:rPr>
        <w:t>供应商支付</w:t>
      </w:r>
      <w:r>
        <w:rPr>
          <w:rFonts w:hint="eastAsia" w:ascii="微软雅黑" w:hAnsi="微软雅黑" w:eastAsia="微软雅黑" w:cs="微软雅黑"/>
          <w:i w:val="0"/>
          <w:iCs w:val="0"/>
          <w:caps w:val="0"/>
          <w:color w:val="000000"/>
          <w:spacing w:val="0"/>
          <w:sz w:val="24"/>
          <w:szCs w:val="24"/>
          <w:highlight w:val="none"/>
        </w:rPr>
        <w:t> </w:t>
      </w:r>
    </w:p>
    <w:p w14:paraId="12D123D9">
      <w:pPr>
        <w:pStyle w:val="19"/>
        <w:keepNext w:val="0"/>
        <w:keepLines w:val="0"/>
        <w:pageBreakBefore w:val="0"/>
        <w:widowControl w:val="0"/>
        <w:suppressLineNumbers w:val="0"/>
        <w:kinsoku/>
        <w:wordWrap w:val="0"/>
        <w:overflowPunct/>
        <w:bidi w:val="0"/>
        <w:spacing w:before="75" w:beforeAutospacing="0" w:after="75" w:afterAutospacing="0" w:line="315" w:lineRule="atLeast"/>
        <w:ind w:left="0" w:right="0"/>
        <w:rPr>
          <w:rStyle w:val="29"/>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    代理费收费标</w:t>
      </w:r>
      <w:r>
        <w:rPr>
          <w:rStyle w:val="29"/>
          <w:rFonts w:hint="eastAsia" w:ascii="微软雅黑" w:hAnsi="微软雅黑" w:eastAsia="微软雅黑" w:cs="微软雅黑"/>
          <w:i w:val="0"/>
          <w:iCs w:val="0"/>
          <w:caps w:val="0"/>
          <w:color w:val="000000"/>
          <w:spacing w:val="0"/>
          <w:sz w:val="24"/>
          <w:szCs w:val="24"/>
          <w:highlight w:val="none"/>
        </w:rPr>
        <w:t>准：以本项目中标金额为计费依据，</w:t>
      </w:r>
      <w:r>
        <w:rPr>
          <w:rStyle w:val="29"/>
          <w:rFonts w:hint="eastAsia" w:ascii="微软雅黑" w:hAnsi="微软雅黑" w:eastAsia="微软雅黑" w:cs="微软雅黑"/>
          <w:i w:val="0"/>
          <w:iCs w:val="0"/>
          <w:caps w:val="0"/>
          <w:color w:val="000000"/>
          <w:spacing w:val="0"/>
          <w:sz w:val="24"/>
          <w:szCs w:val="24"/>
          <w:highlight w:val="none"/>
          <w:lang w:val="en-US" w:eastAsia="zh-CN"/>
        </w:rPr>
        <w:t>参照《招标代理服务收费管理暂行办法》（计价格[2002]1980号）文件的规定，按差额定率累进法计算结果，作为代理服务费收费标准。</w:t>
      </w:r>
    </w:p>
    <w:p w14:paraId="0A5D2E27">
      <w:pPr>
        <w:pStyle w:val="19"/>
        <w:keepNext w:val="0"/>
        <w:keepLines w:val="0"/>
        <w:pageBreakBefore w:val="0"/>
        <w:widowControl w:val="0"/>
        <w:suppressLineNumbers w:val="0"/>
        <w:kinsoku/>
        <w:wordWrap w:val="0"/>
        <w:overflowPunct/>
        <w:bidi w:val="0"/>
        <w:spacing w:before="75" w:beforeAutospacing="0" w:after="75" w:afterAutospacing="0" w:line="315" w:lineRule="atLeast"/>
        <w:ind w:left="0" w:right="0"/>
        <w:rPr>
          <w:sz w:val="24"/>
          <w:szCs w:val="24"/>
          <w:highlight w:val="none"/>
        </w:rPr>
      </w:pPr>
      <w:r>
        <w:rPr>
          <w:rFonts w:hint="eastAsia" w:ascii="微软雅黑" w:hAnsi="微软雅黑" w:eastAsia="微软雅黑" w:cs="微软雅黑"/>
          <w:i w:val="0"/>
          <w:iCs w:val="0"/>
          <w:caps w:val="0"/>
          <w:color w:val="000000"/>
          <w:spacing w:val="0"/>
          <w:sz w:val="24"/>
          <w:szCs w:val="24"/>
          <w:highlight w:val="none"/>
        </w:rPr>
        <w:t>      代理费收费金额（元）： </w:t>
      </w:r>
      <w:r>
        <w:rPr>
          <w:rStyle w:val="29"/>
          <w:rFonts w:hint="eastAsia" w:ascii="微软雅黑" w:hAnsi="微软雅黑" w:eastAsia="微软雅黑" w:cs="微软雅黑"/>
          <w:i w:val="0"/>
          <w:iCs w:val="0"/>
          <w:caps w:val="0"/>
          <w:color w:val="000000"/>
          <w:spacing w:val="0"/>
          <w:sz w:val="24"/>
          <w:szCs w:val="24"/>
          <w:highlight w:val="none"/>
        </w:rPr>
        <w:t>/</w:t>
      </w:r>
      <w:r>
        <w:rPr>
          <w:rFonts w:hint="eastAsia" w:ascii="微软雅黑" w:hAnsi="微软雅黑" w:eastAsia="微软雅黑" w:cs="微软雅黑"/>
          <w:i w:val="0"/>
          <w:iCs w:val="0"/>
          <w:caps w:val="0"/>
          <w:color w:val="000000"/>
          <w:spacing w:val="0"/>
          <w:sz w:val="24"/>
          <w:szCs w:val="24"/>
          <w:highlight w:val="none"/>
        </w:rPr>
        <w:t> </w:t>
      </w:r>
    </w:p>
    <w:p w14:paraId="4B5F42CA">
      <w:pPr>
        <w:pStyle w:val="19"/>
        <w:keepNext w:val="0"/>
        <w:keepLines w:val="0"/>
        <w:pageBreakBefore w:val="0"/>
        <w:widowControl w:val="0"/>
        <w:suppressLineNumbers w:val="0"/>
        <w:kinsoku/>
        <w:wordWrap w:val="0"/>
        <w:overflowPunct/>
        <w:bidi w:val="0"/>
        <w:spacing w:before="255" w:beforeAutospacing="0" w:after="255" w:afterAutospacing="0" w:line="240" w:lineRule="auto"/>
        <w:ind w:left="0" w:right="0"/>
        <w:jc w:val="both"/>
        <w:rPr>
          <w:rFonts w:ascii="黑体" w:hAnsi="宋体" w:eastAsia="黑体" w:cs="黑体"/>
          <w:sz w:val="24"/>
          <w:szCs w:val="24"/>
          <w:highlight w:val="none"/>
        </w:rPr>
      </w:pPr>
      <w:r>
        <w:rPr>
          <w:rStyle w:val="26"/>
          <w:rFonts w:hint="eastAsia" w:ascii="微软雅黑" w:hAnsi="微软雅黑" w:eastAsia="微软雅黑" w:cs="微软雅黑"/>
          <w:i w:val="0"/>
          <w:iCs w:val="0"/>
          <w:caps w:val="0"/>
          <w:color w:val="000000"/>
          <w:spacing w:val="0"/>
          <w:sz w:val="24"/>
          <w:szCs w:val="24"/>
          <w:highlight w:val="none"/>
        </w:rPr>
        <w:t>七、对本次采购提出询问，请按以下方式联系</w:t>
      </w:r>
      <w:r>
        <w:rPr>
          <w:rFonts w:ascii="黑体" w:hAnsi="宋体" w:eastAsia="黑体" w:cs="黑体"/>
          <w:i w:val="0"/>
          <w:iCs w:val="0"/>
          <w:caps w:val="0"/>
          <w:color w:val="000000"/>
          <w:spacing w:val="0"/>
          <w:sz w:val="24"/>
          <w:szCs w:val="24"/>
          <w:highlight w:val="none"/>
        </w:rPr>
        <w:t>    </w:t>
      </w:r>
    </w:p>
    <w:p w14:paraId="06A8F3C4">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rPr>
      </w:pPr>
      <w:bookmarkStart w:id="2" w:name="_Toc28359019"/>
      <w:bookmarkStart w:id="3" w:name="_Toc28359096"/>
      <w:bookmarkStart w:id="4" w:name="_Toc35393637"/>
      <w:bookmarkStart w:id="5" w:name="_Toc35393806"/>
      <w:r>
        <w:rPr>
          <w:rStyle w:val="29"/>
          <w:rFonts w:hint="eastAsia" w:ascii="微软雅黑" w:hAnsi="微软雅黑" w:eastAsia="微软雅黑" w:cs="微软雅黑"/>
          <w:i w:val="0"/>
          <w:iCs w:val="0"/>
          <w:caps w:val="0"/>
          <w:color w:val="000000"/>
          <w:spacing w:val="0"/>
          <w:sz w:val="24"/>
          <w:szCs w:val="24"/>
          <w:highlight w:val="none"/>
        </w:rPr>
        <w:t>1</w:t>
      </w:r>
      <w:r>
        <w:rPr>
          <w:rStyle w:val="29"/>
          <w:rFonts w:hint="eastAsia" w:ascii="微软雅黑" w:hAnsi="微软雅黑" w:eastAsia="微软雅黑" w:cs="微软雅黑"/>
          <w:i w:val="0"/>
          <w:iCs w:val="0"/>
          <w:caps w:val="0"/>
          <w:color w:val="000000"/>
          <w:spacing w:val="0"/>
          <w:sz w:val="24"/>
          <w:szCs w:val="24"/>
          <w:highlight w:val="none"/>
          <w:lang w:val="en-US" w:eastAsia="zh-CN"/>
        </w:rPr>
        <w:t>.</w:t>
      </w:r>
      <w:r>
        <w:rPr>
          <w:rStyle w:val="29"/>
          <w:rFonts w:hint="eastAsia" w:ascii="微软雅黑" w:hAnsi="微软雅黑" w:eastAsia="微软雅黑" w:cs="微软雅黑"/>
          <w:i w:val="0"/>
          <w:iCs w:val="0"/>
          <w:caps w:val="0"/>
          <w:color w:val="000000"/>
          <w:spacing w:val="0"/>
          <w:sz w:val="24"/>
          <w:szCs w:val="24"/>
          <w:highlight w:val="none"/>
        </w:rPr>
        <w:t>采购人信息</w:t>
      </w:r>
      <w:bookmarkEnd w:id="2"/>
      <w:bookmarkEnd w:id="3"/>
      <w:bookmarkEnd w:id="4"/>
      <w:bookmarkEnd w:id="5"/>
    </w:p>
    <w:p w14:paraId="6D37C022">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lang w:val="en-US" w:eastAsia="zh-CN"/>
        </w:rPr>
        <w:t>名    称：太原市医疗保障局</w:t>
      </w:r>
    </w:p>
    <w:p w14:paraId="6A5FB152">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lang w:val="en-US" w:eastAsia="zh-CN"/>
        </w:rPr>
        <w:t>地    址：山西省太原市望景路10号</w:t>
      </w:r>
    </w:p>
    <w:p w14:paraId="5C00E630">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lang w:val="en-US" w:eastAsia="zh-CN"/>
        </w:rPr>
        <w:t>联系电话：0351-6871326</w:t>
      </w:r>
    </w:p>
    <w:p w14:paraId="72724EE2">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lang w:val="en-US" w:eastAsia="zh-CN"/>
        </w:rPr>
        <w:t>2.采购代理机构基本信息</w:t>
      </w:r>
    </w:p>
    <w:p w14:paraId="15112014">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lang w:val="en-US" w:eastAsia="zh-CN"/>
        </w:rPr>
        <w:t xml:space="preserve">名称：太原市宜达科技服务有限公司 </w:t>
      </w:r>
    </w:p>
    <w:p w14:paraId="23A20AD7">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lang w:val="en-US" w:eastAsia="zh-CN"/>
        </w:rPr>
        <w:t xml:space="preserve">地址：太原市高新区创业街天和科技5层 </w:t>
      </w:r>
    </w:p>
    <w:p w14:paraId="64626EC0">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lang w:val="en-US" w:eastAsia="zh-CN"/>
        </w:rPr>
        <w:t>联系方式：0351-7030399，</w:t>
      </w:r>
      <w:r>
        <w:rPr>
          <w:rStyle w:val="29"/>
          <w:rFonts w:hint="eastAsia" w:ascii="微软雅黑" w:hAnsi="微软雅黑" w:eastAsia="微软雅黑" w:cs="微软雅黑"/>
          <w:i w:val="0"/>
          <w:iCs w:val="0"/>
          <w:caps w:val="0"/>
          <w:color w:val="000000"/>
          <w:spacing w:val="0"/>
          <w:sz w:val="24"/>
          <w:szCs w:val="24"/>
          <w:highlight w:val="none"/>
        </w:rPr>
        <w:t>邮箱：tyydkj@126.com</w:t>
      </w:r>
    </w:p>
    <w:p w14:paraId="7406D5E2">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lang w:val="en-US" w:eastAsia="zh-CN"/>
        </w:rPr>
        <w:t>3.项目联系方式</w:t>
      </w:r>
    </w:p>
    <w:p w14:paraId="79425BC1">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default"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lang w:val="en-US" w:eastAsia="zh-CN"/>
        </w:rPr>
        <w:t>采购人项目联系人：李老师</w:t>
      </w:r>
    </w:p>
    <w:p w14:paraId="766CFCF2">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default"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lang w:val="en-US" w:eastAsia="zh-CN"/>
        </w:rPr>
        <w:t>电     话：0351-6871326</w:t>
      </w:r>
    </w:p>
    <w:p w14:paraId="2FF0BCF6">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default"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rPr>
        <w:t>采购代理机构项目联系人：王玮萍、袁力敏、王勇、</w:t>
      </w:r>
      <w:r>
        <w:rPr>
          <w:rStyle w:val="29"/>
          <w:rFonts w:hint="eastAsia" w:ascii="微软雅黑" w:hAnsi="微软雅黑" w:eastAsia="微软雅黑" w:cs="微软雅黑"/>
          <w:i w:val="0"/>
          <w:iCs w:val="0"/>
          <w:caps w:val="0"/>
          <w:color w:val="000000"/>
          <w:spacing w:val="0"/>
          <w:sz w:val="24"/>
          <w:szCs w:val="24"/>
          <w:highlight w:val="none"/>
          <w:lang w:val="en-US" w:eastAsia="zh-CN"/>
        </w:rPr>
        <w:t>张红红、杜亚锋</w:t>
      </w:r>
    </w:p>
    <w:p w14:paraId="2B910846">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lang w:val="en-US" w:eastAsia="zh-CN"/>
        </w:rPr>
      </w:pPr>
      <w:r>
        <w:rPr>
          <w:rStyle w:val="29"/>
          <w:rFonts w:hint="eastAsia" w:ascii="微软雅黑" w:hAnsi="微软雅黑" w:eastAsia="微软雅黑" w:cs="微软雅黑"/>
          <w:i w:val="0"/>
          <w:iCs w:val="0"/>
          <w:caps w:val="0"/>
          <w:color w:val="000000"/>
          <w:spacing w:val="0"/>
          <w:sz w:val="24"/>
          <w:szCs w:val="24"/>
          <w:highlight w:val="none"/>
        </w:rPr>
        <w:t>电　　 话：</w:t>
      </w:r>
      <w:r>
        <w:rPr>
          <w:rStyle w:val="29"/>
          <w:rFonts w:hint="eastAsia" w:ascii="微软雅黑" w:hAnsi="微软雅黑" w:eastAsia="微软雅黑" w:cs="微软雅黑"/>
          <w:i w:val="0"/>
          <w:iCs w:val="0"/>
          <w:caps w:val="0"/>
          <w:color w:val="000000"/>
          <w:spacing w:val="0"/>
          <w:sz w:val="24"/>
          <w:szCs w:val="24"/>
          <w:highlight w:val="none"/>
          <w:lang w:val="en-US" w:eastAsia="zh-CN"/>
        </w:rPr>
        <w:t>0351-7030399，</w:t>
      </w:r>
      <w:r>
        <w:rPr>
          <w:rStyle w:val="29"/>
          <w:rFonts w:hint="eastAsia" w:ascii="微软雅黑" w:hAnsi="微软雅黑" w:eastAsia="微软雅黑" w:cs="微软雅黑"/>
          <w:i w:val="0"/>
          <w:iCs w:val="0"/>
          <w:caps w:val="0"/>
          <w:color w:val="000000"/>
          <w:spacing w:val="0"/>
          <w:sz w:val="24"/>
          <w:szCs w:val="24"/>
          <w:highlight w:val="none"/>
        </w:rPr>
        <w:t>邮箱：tyydkj@126.com</w:t>
      </w:r>
    </w:p>
    <w:p w14:paraId="199F2C01">
      <w:pPr>
        <w:pStyle w:val="19"/>
        <w:keepNext w:val="0"/>
        <w:keepLines w:val="0"/>
        <w:pageBreakBefore w:val="0"/>
        <w:widowControl w:val="0"/>
        <w:suppressLineNumbers w:val="0"/>
        <w:kinsoku/>
        <w:wordWrap w:val="0"/>
        <w:overflowPunct/>
        <w:bidi w:val="0"/>
        <w:spacing w:before="75" w:beforeAutospacing="0" w:after="75" w:afterAutospacing="0" w:line="240" w:lineRule="auto"/>
        <w:ind w:left="0" w:right="0" w:firstLine="420"/>
        <w:rPr>
          <w:rStyle w:val="29"/>
          <w:rFonts w:hint="eastAsia" w:ascii="微软雅黑" w:hAnsi="微软雅黑" w:eastAsia="微软雅黑" w:cs="微软雅黑"/>
          <w:i w:val="0"/>
          <w:iCs w:val="0"/>
          <w:caps w:val="0"/>
          <w:color w:val="000000"/>
          <w:spacing w:val="0"/>
          <w:sz w:val="24"/>
          <w:szCs w:val="24"/>
          <w:highlight w:val="none"/>
        </w:rPr>
      </w:pPr>
    </w:p>
    <w:p w14:paraId="15657C3B">
      <w:pPr>
        <w:pStyle w:val="30"/>
        <w:keepNext w:val="0"/>
        <w:keepLines w:val="0"/>
        <w:pageBreakBefore w:val="0"/>
        <w:widowControl w:val="0"/>
        <w:kinsoku/>
        <w:overflowPunct/>
        <w:bidi w:val="0"/>
        <w:spacing w:line="360" w:lineRule="auto"/>
        <w:ind w:firstLine="480"/>
        <w:rPr>
          <w:rFonts w:ascii="Times New Roman" w:hAnsi="Times New Roman"/>
          <w:color w:val="000000" w:themeColor="text1"/>
          <w:sz w:val="24"/>
          <w:highlight w:val="none"/>
          <w14:textFill>
            <w14:solidFill>
              <w14:schemeClr w14:val="tx1"/>
            </w14:solidFill>
          </w14:textFill>
        </w:rPr>
      </w:pPr>
    </w:p>
    <w:p w14:paraId="58EF5DC7">
      <w:pPr>
        <w:keepNext w:val="0"/>
        <w:keepLines w:val="0"/>
        <w:pageBreakBefore w:val="0"/>
        <w:widowControl w:val="0"/>
        <w:kinsoku/>
        <w:overflowPunct/>
        <w:bidi w:val="0"/>
        <w:rPr>
          <w:rFonts w:ascii="Times New Roman" w:hAnsi="Times New Roman"/>
          <w:b/>
          <w:color w:val="000000" w:themeColor="text1"/>
          <w:kern w:val="0"/>
          <w:sz w:val="32"/>
          <w:szCs w:val="32"/>
          <w:highlight w:val="none"/>
          <w14:textFill>
            <w14:solidFill>
              <w14:schemeClr w14:val="tx1"/>
            </w14:solidFill>
          </w14:textFill>
        </w:rPr>
      </w:pPr>
      <w:bookmarkStart w:id="6" w:name="_Toc180347449"/>
      <w:r>
        <w:rPr>
          <w:rFonts w:ascii="Times New Roman" w:hAnsi="Times New Roman"/>
          <w:b/>
          <w:color w:val="000000" w:themeColor="text1"/>
          <w:kern w:val="0"/>
          <w:sz w:val="32"/>
          <w:szCs w:val="32"/>
          <w:highlight w:val="none"/>
          <w14:textFill>
            <w14:solidFill>
              <w14:schemeClr w14:val="tx1"/>
            </w14:solidFill>
          </w14:textFill>
        </w:rPr>
        <w:br w:type="page"/>
      </w:r>
    </w:p>
    <w:p w14:paraId="6A6B362F">
      <w:pPr>
        <w:keepNext w:val="0"/>
        <w:keepLines w:val="0"/>
        <w:pageBreakBefore w:val="0"/>
        <w:widowControl w:val="0"/>
        <w:tabs>
          <w:tab w:val="left" w:pos="2070"/>
          <w:tab w:val="center" w:pos="4365"/>
        </w:tabs>
        <w:kinsoku/>
        <w:overflowPunct/>
        <w:bidi w:val="0"/>
        <w:adjustRightInd w:val="0"/>
        <w:snapToGrid w:val="0"/>
        <w:spacing w:line="360" w:lineRule="auto"/>
        <w:ind w:firstLine="643"/>
        <w:jc w:val="center"/>
        <w:outlineLvl w:val="0"/>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第二部分  投标人须知前附表</w:t>
      </w:r>
      <w:bookmarkEnd w:id="6"/>
    </w:p>
    <w:tbl>
      <w:tblPr>
        <w:tblStyle w:val="23"/>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27"/>
        <w:gridCol w:w="7393"/>
      </w:tblGrid>
      <w:tr w14:paraId="4479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713" w:type="dxa"/>
            <w:vAlign w:val="center"/>
          </w:tcPr>
          <w:p w14:paraId="459FCDAD">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b/>
                <w:bCs/>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序号</w:t>
            </w:r>
          </w:p>
        </w:tc>
        <w:tc>
          <w:tcPr>
            <w:tcW w:w="1727" w:type="dxa"/>
            <w:vAlign w:val="center"/>
          </w:tcPr>
          <w:p w14:paraId="02F4A959">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内容</w:t>
            </w:r>
          </w:p>
        </w:tc>
        <w:tc>
          <w:tcPr>
            <w:tcW w:w="7393" w:type="dxa"/>
            <w:vAlign w:val="center"/>
          </w:tcPr>
          <w:p w14:paraId="131606F4">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说明与要求</w:t>
            </w:r>
          </w:p>
        </w:tc>
      </w:tr>
      <w:tr w14:paraId="2B03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613B209A">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p>
        </w:tc>
        <w:tc>
          <w:tcPr>
            <w:tcW w:w="1727" w:type="dxa"/>
            <w:vAlign w:val="center"/>
          </w:tcPr>
          <w:p w14:paraId="3068181C">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预算金额</w:t>
            </w:r>
            <w:r>
              <w:rPr>
                <w:rFonts w:ascii="Times New Roman" w:hAnsi="Times New Roman"/>
                <w:color w:val="000000" w:themeColor="text1"/>
                <w:sz w:val="24"/>
                <w:highlight w:val="none"/>
                <w14:textFill>
                  <w14:solidFill>
                    <w14:schemeClr w14:val="tx1"/>
                  </w14:solidFill>
                </w14:textFill>
              </w:rPr>
              <w:br w:type="textWrapping"/>
            </w:r>
            <w:r>
              <w:rPr>
                <w:rFonts w:ascii="Times New Roman" w:hAnsi="Times New Roman"/>
                <w:color w:val="000000" w:themeColor="text1"/>
                <w:sz w:val="24"/>
                <w:highlight w:val="none"/>
                <w14:textFill>
                  <w14:solidFill>
                    <w14:schemeClr w14:val="tx1"/>
                  </w14:solidFill>
                </w14:textFill>
              </w:rPr>
              <w:t>及最高限价</w:t>
            </w:r>
          </w:p>
        </w:tc>
        <w:tc>
          <w:tcPr>
            <w:tcW w:w="7393" w:type="dxa"/>
            <w:vAlign w:val="center"/>
          </w:tcPr>
          <w:p w14:paraId="09743508">
            <w:pPr>
              <w:keepNext w:val="0"/>
              <w:keepLines w:val="0"/>
              <w:pageBreakBefore w:val="0"/>
              <w:widowControl w:val="0"/>
              <w:kinsoku/>
              <w:overflowPunct/>
              <w:topLinePunct/>
              <w:autoSpaceDE w:val="0"/>
              <w:autoSpaceDN w:val="0"/>
              <w:bidi w:val="0"/>
              <w:adjustRightInd w:val="0"/>
              <w:snapToGrid w:val="0"/>
              <w:spacing w:line="360" w:lineRule="auto"/>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预算金额：</w:t>
            </w:r>
          </w:p>
          <w:p w14:paraId="487742B3">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000000" w:themeColor="text1"/>
                <w:sz w:val="24"/>
                <w:highlight w:val="none"/>
                <w:lang w:val="en-US" w:eastAsia="zh-CN"/>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人民币（大写）：</w:t>
            </w:r>
            <w:r>
              <w:rPr>
                <w:rFonts w:hint="eastAsia" w:ascii="Times New Roman" w:hAnsi="Times New Roman"/>
                <w:bCs/>
                <w:color w:val="000000" w:themeColor="text1"/>
                <w:sz w:val="24"/>
                <w:highlight w:val="none"/>
                <w:lang w:val="en-US" w:eastAsia="zh-CN"/>
                <w14:textFill>
                  <w14:solidFill>
                    <w14:schemeClr w14:val="tx1"/>
                  </w14:solidFill>
                </w14:textFill>
              </w:rPr>
              <w:t>壹佰叁拾壹万玖仟肆佰贰拾柒元陆角</w:t>
            </w:r>
          </w:p>
          <w:p w14:paraId="3AEEE6D7">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000000" w:themeColor="text1"/>
                <w:sz w:val="24"/>
                <w:highlight w:val="none"/>
                <w:lang w:val="en-US" w:eastAsia="zh-CN"/>
                <w14:textFill>
                  <w14:solidFill>
                    <w14:schemeClr w14:val="tx1"/>
                  </w14:solidFill>
                </w14:textFill>
              </w:rPr>
            </w:pPr>
            <w:r>
              <w:rPr>
                <w:rFonts w:hint="eastAsia" w:ascii="Times New Roman" w:hAnsi="Times New Roman"/>
                <w:bCs/>
                <w:color w:val="000000" w:themeColor="text1"/>
                <w:sz w:val="24"/>
                <w:highlight w:val="none"/>
                <w14:textFill>
                  <w14:solidFill>
                    <w14:schemeClr w14:val="tx1"/>
                  </w14:solidFill>
                </w14:textFill>
              </w:rPr>
              <w:t>（小写）</w:t>
            </w:r>
            <w:r>
              <w:rPr>
                <w:rFonts w:hint="eastAsia" w:ascii="Times New Roman" w:hAnsi="Times New Roman"/>
                <w:bCs/>
                <w:color w:val="000000" w:themeColor="text1"/>
                <w:sz w:val="24"/>
                <w:highlight w:val="none"/>
                <w:lang w:val="en-US" w:eastAsia="zh-CN"/>
                <w14:textFill>
                  <w14:solidFill>
                    <w14:schemeClr w14:val="tx1"/>
                  </w14:solidFill>
                </w14:textFill>
              </w:rPr>
              <w:t>：¥1319427.60元</w:t>
            </w:r>
          </w:p>
          <w:p w14:paraId="6AF4AFFB">
            <w:pPr>
              <w:keepNext w:val="0"/>
              <w:keepLines w:val="0"/>
              <w:pageBreakBefore w:val="0"/>
              <w:widowControl w:val="0"/>
              <w:kinsoku/>
              <w:overflowPunct/>
              <w:topLinePunct/>
              <w:autoSpaceDE w:val="0"/>
              <w:autoSpaceDN w:val="0"/>
              <w:bidi w:val="0"/>
              <w:adjustRightInd w:val="0"/>
              <w:snapToGrid w:val="0"/>
              <w:spacing w:line="360" w:lineRule="auto"/>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最高限价：</w:t>
            </w:r>
          </w:p>
          <w:p w14:paraId="799F25ED">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000000" w:themeColor="text1"/>
                <w:sz w:val="24"/>
                <w:highlight w:val="none"/>
                <w:lang w:val="en-US" w:eastAsia="zh-CN"/>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人民币（大写）：</w:t>
            </w:r>
            <w:r>
              <w:rPr>
                <w:rFonts w:hint="eastAsia" w:ascii="Times New Roman" w:hAnsi="Times New Roman"/>
                <w:bCs/>
                <w:color w:val="000000" w:themeColor="text1"/>
                <w:sz w:val="24"/>
                <w:highlight w:val="none"/>
                <w:lang w:val="en-US" w:eastAsia="zh-CN"/>
                <w14:textFill>
                  <w14:solidFill>
                    <w14:schemeClr w14:val="tx1"/>
                  </w14:solidFill>
                </w14:textFill>
              </w:rPr>
              <w:t>壹佰叁拾壹万玖仟肆佰贰拾柒元陆角</w:t>
            </w:r>
          </w:p>
          <w:p w14:paraId="6BA101DD">
            <w:pPr>
              <w:keepNext w:val="0"/>
              <w:keepLines w:val="0"/>
              <w:pageBreakBefore w:val="0"/>
              <w:widowControl w:val="0"/>
              <w:kinsoku/>
              <w:overflowPunct/>
              <w:topLinePunct/>
              <w:autoSpaceDE w:val="0"/>
              <w:autoSpaceDN w:val="0"/>
              <w:bidi w:val="0"/>
              <w:adjustRightInd w:val="0"/>
              <w:snapToGrid w:val="0"/>
              <w:spacing w:line="360" w:lineRule="auto"/>
              <w:rPr>
                <w:rFonts w:hint="default" w:ascii="Times New Roman" w:hAnsi="Times New Roman" w:eastAsia="宋体"/>
                <w:bCs/>
                <w:color w:val="000000" w:themeColor="text1"/>
                <w:sz w:val="24"/>
                <w:highlight w:val="none"/>
                <w:lang w:val="en-US" w:eastAsia="zh-CN"/>
                <w14:textFill>
                  <w14:solidFill>
                    <w14:schemeClr w14:val="tx1"/>
                  </w14:solidFill>
                </w14:textFill>
              </w:rPr>
            </w:pPr>
            <w:r>
              <w:rPr>
                <w:rFonts w:hint="eastAsia" w:ascii="Times New Roman" w:hAnsi="Times New Roman"/>
                <w:bCs/>
                <w:color w:val="000000" w:themeColor="text1"/>
                <w:sz w:val="24"/>
                <w:highlight w:val="none"/>
                <w14:textFill>
                  <w14:solidFill>
                    <w14:schemeClr w14:val="tx1"/>
                  </w14:solidFill>
                </w14:textFill>
              </w:rPr>
              <w:t>（小写）</w:t>
            </w:r>
            <w:r>
              <w:rPr>
                <w:rFonts w:hint="eastAsia" w:ascii="Times New Roman" w:hAnsi="Times New Roman"/>
                <w:bCs/>
                <w:color w:val="000000" w:themeColor="text1"/>
                <w:sz w:val="24"/>
                <w:highlight w:val="none"/>
                <w:lang w:val="en-US" w:eastAsia="zh-CN"/>
                <w14:textFill>
                  <w14:solidFill>
                    <w14:schemeClr w14:val="tx1"/>
                  </w14:solidFill>
                </w14:textFill>
              </w:rPr>
              <w:t>：¥1319427.60元</w:t>
            </w:r>
          </w:p>
          <w:p w14:paraId="683ED58E">
            <w:pPr>
              <w:keepNext w:val="0"/>
              <w:keepLines w:val="0"/>
              <w:pageBreakBefore w:val="0"/>
              <w:widowControl w:val="0"/>
              <w:kinsoku/>
              <w:overflowPunct/>
              <w:topLinePunct/>
              <w:autoSpaceDE w:val="0"/>
              <w:autoSpaceDN w:val="0"/>
              <w:bidi w:val="0"/>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注：投标人的投标报价不得超过</w:t>
            </w:r>
            <w:r>
              <w:rPr>
                <w:rFonts w:hint="eastAsia" w:ascii="Times New Roman" w:hAnsi="Times New Roman"/>
                <w:b/>
                <w:color w:val="000000" w:themeColor="text1"/>
                <w:sz w:val="24"/>
                <w:highlight w:val="none"/>
                <w14:textFill>
                  <w14:solidFill>
                    <w14:schemeClr w14:val="tx1"/>
                  </w14:solidFill>
                </w14:textFill>
              </w:rPr>
              <w:t>最高限价</w:t>
            </w:r>
            <w:r>
              <w:rPr>
                <w:rFonts w:ascii="Times New Roman" w:hAnsi="Times New Roman"/>
                <w:b/>
                <w:color w:val="000000" w:themeColor="text1"/>
                <w:sz w:val="24"/>
                <w:highlight w:val="none"/>
                <w14:textFill>
                  <w14:solidFill>
                    <w14:schemeClr w14:val="tx1"/>
                  </w14:solidFill>
                </w14:textFill>
              </w:rPr>
              <w:t>，否则投标无效。</w:t>
            </w:r>
          </w:p>
        </w:tc>
      </w:tr>
      <w:tr w14:paraId="58C9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3" w:type="dxa"/>
            <w:vAlign w:val="center"/>
          </w:tcPr>
          <w:p w14:paraId="3882438C">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w:t>
            </w:r>
          </w:p>
        </w:tc>
        <w:tc>
          <w:tcPr>
            <w:tcW w:w="1727" w:type="dxa"/>
            <w:vAlign w:val="center"/>
          </w:tcPr>
          <w:p w14:paraId="53B7C417">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是否允许代理商投标</w:t>
            </w:r>
          </w:p>
        </w:tc>
        <w:tc>
          <w:tcPr>
            <w:tcW w:w="7393" w:type="dxa"/>
            <w:vAlign w:val="center"/>
          </w:tcPr>
          <w:p w14:paraId="1DE0812F">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Cs/>
                <w:color w:val="000000" w:themeColor="text1"/>
                <w:sz w:val="24"/>
                <w:highlight w:val="none"/>
                <w:lang w:val="en-US" w:eastAsia="zh-CN"/>
                <w14:textFill>
                  <w14:solidFill>
                    <w14:schemeClr w14:val="tx1"/>
                  </w14:solidFill>
                </w14:textFill>
              </w:rPr>
            </w:pPr>
            <w:r>
              <w:rPr>
                <w:rFonts w:hint="eastAsia" w:ascii="Times New Roman" w:hAnsi="Times New Roman"/>
                <w:bCs/>
                <w:color w:val="000000" w:themeColor="text1"/>
                <w:sz w:val="24"/>
                <w:highlight w:val="none"/>
                <w:lang w:val="en-US" w:eastAsia="zh-CN"/>
                <w14:textFill>
                  <w14:solidFill>
                    <w14:schemeClr w14:val="tx1"/>
                  </w14:solidFill>
                </w14:textFill>
              </w:rPr>
              <w:t>否</w:t>
            </w:r>
          </w:p>
        </w:tc>
      </w:tr>
      <w:tr w14:paraId="6A25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01F94E7A">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3</w:t>
            </w:r>
          </w:p>
        </w:tc>
        <w:tc>
          <w:tcPr>
            <w:tcW w:w="1727" w:type="dxa"/>
            <w:vAlign w:val="center"/>
          </w:tcPr>
          <w:p w14:paraId="7783F6C5">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是否允许联合体投标</w:t>
            </w:r>
          </w:p>
        </w:tc>
        <w:tc>
          <w:tcPr>
            <w:tcW w:w="7393" w:type="dxa"/>
            <w:vAlign w:val="center"/>
          </w:tcPr>
          <w:p w14:paraId="23B507B4">
            <w:pPr>
              <w:keepNext w:val="0"/>
              <w:keepLines w:val="0"/>
              <w:pageBreakBefore w:val="0"/>
              <w:widowControl w:val="0"/>
              <w:kinsoku/>
              <w:overflowPunct/>
              <w:topLinePunct/>
              <w:autoSpaceDE w:val="0"/>
              <w:autoSpaceDN w:val="0"/>
              <w:bidi w:val="0"/>
              <w:adjustRightInd w:val="0"/>
              <w:snapToGrid w:val="0"/>
              <w:spacing w:line="360" w:lineRule="auto"/>
              <w:rPr>
                <w:rFonts w:hint="eastAsia" w:ascii="Times New Roman" w:hAnsi="Times New Roman" w:eastAsia="宋体"/>
                <w:bCs/>
                <w:color w:val="000000" w:themeColor="text1"/>
                <w:sz w:val="24"/>
                <w:highlight w:val="none"/>
                <w:lang w:val="en-US" w:eastAsia="zh-CN"/>
                <w14:textFill>
                  <w14:solidFill>
                    <w14:schemeClr w14:val="tx1"/>
                  </w14:solidFill>
                </w14:textFill>
              </w:rPr>
            </w:pPr>
            <w:r>
              <w:rPr>
                <w:rFonts w:hint="eastAsia" w:ascii="Times New Roman" w:hAnsi="Times New Roman"/>
                <w:bCs/>
                <w:color w:val="000000" w:themeColor="text1"/>
                <w:sz w:val="24"/>
                <w:highlight w:val="none"/>
                <w:lang w:val="en-US" w:eastAsia="zh-CN"/>
                <w14:textFill>
                  <w14:solidFill>
                    <w14:schemeClr w14:val="tx1"/>
                  </w14:solidFill>
                </w14:textFill>
              </w:rPr>
              <w:t>否</w:t>
            </w:r>
          </w:p>
        </w:tc>
      </w:tr>
      <w:tr w14:paraId="0406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0AC603FE">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4</w:t>
            </w:r>
          </w:p>
        </w:tc>
        <w:tc>
          <w:tcPr>
            <w:tcW w:w="1727" w:type="dxa"/>
            <w:vAlign w:val="center"/>
          </w:tcPr>
          <w:p w14:paraId="2F923492">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投标文件</w:t>
            </w:r>
          </w:p>
          <w:p w14:paraId="194813E7">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份数、提交截止时间、解密时间</w:t>
            </w:r>
          </w:p>
        </w:tc>
        <w:tc>
          <w:tcPr>
            <w:tcW w:w="7393" w:type="dxa"/>
            <w:vAlign w:val="center"/>
          </w:tcPr>
          <w:p w14:paraId="433E33B6">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1.投标</w:t>
            </w:r>
            <w:r>
              <w:rPr>
                <w:rFonts w:ascii="宋体" w:hAnsi="宋体"/>
                <w:bCs/>
                <w:sz w:val="24"/>
                <w:highlight w:val="none"/>
              </w:rPr>
              <w:t>文件份数：</w:t>
            </w:r>
          </w:p>
          <w:p w14:paraId="2CBB07AE">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投标人</w:t>
            </w:r>
            <w:r>
              <w:rPr>
                <w:rFonts w:ascii="宋体" w:hAnsi="宋体"/>
                <w:bCs/>
                <w:sz w:val="24"/>
                <w:highlight w:val="none"/>
              </w:rPr>
              <w:t>需在</w:t>
            </w:r>
            <w:r>
              <w:rPr>
                <w:rFonts w:hint="eastAsia" w:ascii="宋体" w:hAnsi="宋体"/>
                <w:bCs/>
                <w:sz w:val="24"/>
                <w:highlight w:val="none"/>
              </w:rPr>
              <w:t>山西政府采购平台提交</w:t>
            </w:r>
            <w:r>
              <w:rPr>
                <w:rFonts w:ascii="宋体" w:hAnsi="宋体"/>
                <w:bCs/>
                <w:sz w:val="24"/>
                <w:highlight w:val="none"/>
              </w:rPr>
              <w:t>加密电子</w:t>
            </w:r>
            <w:r>
              <w:rPr>
                <w:rFonts w:hint="eastAsia" w:ascii="宋体" w:hAnsi="宋体"/>
                <w:bCs/>
                <w:sz w:val="24"/>
                <w:highlight w:val="none"/>
              </w:rPr>
              <w:t>投标文件壹份</w:t>
            </w:r>
            <w:r>
              <w:rPr>
                <w:rFonts w:ascii="宋体" w:hAnsi="宋体"/>
                <w:bCs/>
                <w:sz w:val="24"/>
                <w:highlight w:val="none"/>
              </w:rPr>
              <w:t>；</w:t>
            </w:r>
          </w:p>
          <w:p w14:paraId="0C6C5DBB">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2.提交截止时间：</w:t>
            </w:r>
          </w:p>
          <w:p w14:paraId="74D0B7F5">
            <w:pPr>
              <w:keepNext w:val="0"/>
              <w:keepLines w:val="0"/>
              <w:pageBreakBefore w:val="0"/>
              <w:widowControl w:val="0"/>
              <w:kinsoku/>
              <w:overflowPunct/>
              <w:topLinePunct/>
              <w:bidi w:val="0"/>
              <w:adjustRightInd w:val="0"/>
              <w:snapToGrid w:val="0"/>
              <w:spacing w:line="360" w:lineRule="auto"/>
              <w:jc w:val="left"/>
              <w:rPr>
                <w:rFonts w:hint="eastAsia" w:ascii="宋体" w:hAnsi="宋体" w:eastAsia="宋体" w:cs="Times New Roman"/>
                <w:bCs/>
                <w:sz w:val="24"/>
                <w:highlight w:val="none"/>
                <w:u w:val="single"/>
              </w:rPr>
            </w:pPr>
            <w:r>
              <w:rPr>
                <w:rFonts w:hint="eastAsia" w:ascii="宋体" w:hAnsi="宋体" w:eastAsia="宋体" w:cs="Times New Roman"/>
                <w:bCs/>
                <w:sz w:val="24"/>
                <w:highlight w:val="none"/>
                <w:u w:val="single"/>
              </w:rPr>
              <w:t>2025年</w:t>
            </w:r>
            <w:r>
              <w:rPr>
                <w:rFonts w:hint="eastAsia" w:ascii="宋体" w:hAnsi="宋体" w:cs="Times New Roman"/>
                <w:bCs/>
                <w:sz w:val="24"/>
                <w:highlight w:val="none"/>
                <w:u w:val="single"/>
                <w:lang w:val="en-US" w:eastAsia="zh-CN"/>
              </w:rPr>
              <w:t>06月30日</w:t>
            </w:r>
            <w:r>
              <w:rPr>
                <w:rFonts w:hint="eastAsia" w:ascii="宋体" w:hAnsi="宋体" w:eastAsia="宋体" w:cs="Times New Roman"/>
                <w:bCs/>
                <w:sz w:val="24"/>
                <w:highlight w:val="none"/>
                <w:u w:val="single"/>
              </w:rPr>
              <w:t>09:</w:t>
            </w:r>
            <w:r>
              <w:rPr>
                <w:rFonts w:hint="eastAsia" w:ascii="宋体" w:hAnsi="宋体" w:eastAsia="宋体" w:cs="Times New Roman"/>
                <w:bCs/>
                <w:sz w:val="24"/>
                <w:highlight w:val="none"/>
                <w:u w:val="single"/>
                <w:lang w:val="en-US" w:eastAsia="zh-CN"/>
              </w:rPr>
              <w:t>0</w:t>
            </w:r>
            <w:r>
              <w:rPr>
                <w:rFonts w:hint="eastAsia" w:ascii="宋体" w:hAnsi="宋体" w:eastAsia="宋体" w:cs="Times New Roman"/>
                <w:bCs/>
                <w:sz w:val="24"/>
                <w:highlight w:val="none"/>
                <w:u w:val="single"/>
              </w:rPr>
              <w:t>0</w:t>
            </w:r>
          </w:p>
          <w:p w14:paraId="205DD009">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3.</w:t>
            </w:r>
            <w:r>
              <w:rPr>
                <w:rFonts w:ascii="宋体" w:hAnsi="宋体"/>
                <w:bCs/>
                <w:sz w:val="24"/>
                <w:highlight w:val="none"/>
              </w:rPr>
              <w:t>解密</w:t>
            </w:r>
            <w:r>
              <w:rPr>
                <w:rFonts w:hint="eastAsia" w:ascii="宋体" w:hAnsi="宋体"/>
                <w:bCs/>
                <w:sz w:val="24"/>
                <w:highlight w:val="none"/>
              </w:rPr>
              <w:t>时间</w:t>
            </w:r>
            <w:r>
              <w:rPr>
                <w:rFonts w:ascii="宋体" w:hAnsi="宋体"/>
                <w:bCs/>
                <w:sz w:val="24"/>
                <w:highlight w:val="none"/>
              </w:rPr>
              <w:t>：</w:t>
            </w:r>
          </w:p>
          <w:p w14:paraId="3F44A840">
            <w:pPr>
              <w:keepNext w:val="0"/>
              <w:keepLines w:val="0"/>
              <w:pageBreakBefore w:val="0"/>
              <w:widowControl w:val="0"/>
              <w:kinsoku/>
              <w:overflowPunct/>
              <w:topLinePunct/>
              <w:autoSpaceDE w:val="0"/>
              <w:autoSpaceDN w:val="0"/>
              <w:bidi w:val="0"/>
              <w:adjustRightInd w:val="0"/>
              <w:snapToGrid w:val="0"/>
              <w:spacing w:line="360" w:lineRule="auto"/>
              <w:rPr>
                <w:color w:val="000000" w:themeColor="text1"/>
                <w:sz w:val="24"/>
                <w:highlight w:val="none"/>
                <w14:textFill>
                  <w14:solidFill>
                    <w14:schemeClr w14:val="tx1"/>
                  </w14:solidFill>
                </w14:textFill>
              </w:rPr>
            </w:pPr>
            <w:r>
              <w:rPr>
                <w:rFonts w:hint="eastAsia" w:ascii="宋体" w:hAnsi="宋体" w:eastAsia="宋体" w:cs="Times New Roman"/>
                <w:bCs/>
                <w:sz w:val="24"/>
                <w:highlight w:val="none"/>
                <w:u w:val="single"/>
              </w:rPr>
              <w:t>202</w:t>
            </w:r>
            <w:r>
              <w:rPr>
                <w:rFonts w:hint="eastAsia" w:ascii="宋体" w:hAnsi="宋体" w:eastAsia="宋体" w:cs="Times New Roman"/>
                <w:bCs/>
                <w:sz w:val="24"/>
                <w:highlight w:val="none"/>
                <w:u w:val="single"/>
                <w:lang w:val="en-US" w:eastAsia="zh-CN"/>
              </w:rPr>
              <w:t>5</w:t>
            </w:r>
            <w:r>
              <w:rPr>
                <w:rFonts w:hint="eastAsia" w:ascii="宋体" w:hAnsi="宋体" w:eastAsia="宋体" w:cs="Times New Roman"/>
                <w:bCs/>
                <w:sz w:val="24"/>
                <w:highlight w:val="none"/>
                <w:u w:val="single"/>
              </w:rPr>
              <w:t>年</w:t>
            </w:r>
            <w:r>
              <w:rPr>
                <w:rFonts w:hint="eastAsia" w:ascii="宋体" w:hAnsi="宋体" w:cs="Times New Roman"/>
                <w:bCs/>
                <w:sz w:val="24"/>
                <w:highlight w:val="none"/>
                <w:u w:val="single"/>
                <w:lang w:val="en-US" w:eastAsia="zh-CN"/>
              </w:rPr>
              <w:t>06月30日</w:t>
            </w:r>
            <w:r>
              <w:rPr>
                <w:rFonts w:hint="eastAsia" w:ascii="宋体" w:hAnsi="宋体" w:eastAsia="宋体" w:cs="Times New Roman"/>
                <w:bCs/>
                <w:sz w:val="24"/>
                <w:highlight w:val="none"/>
                <w:u w:val="single"/>
                <w:lang w:val="en-US" w:eastAsia="zh-CN"/>
              </w:rPr>
              <w:t>09</w:t>
            </w:r>
            <w:r>
              <w:rPr>
                <w:rFonts w:hint="eastAsia" w:ascii="宋体" w:hAnsi="宋体" w:eastAsia="宋体" w:cs="Times New Roman"/>
                <w:bCs/>
                <w:sz w:val="24"/>
                <w:highlight w:val="none"/>
                <w:u w:val="single"/>
              </w:rPr>
              <w:t>点</w:t>
            </w:r>
            <w:r>
              <w:rPr>
                <w:rFonts w:hint="eastAsia" w:ascii="宋体" w:hAnsi="宋体" w:eastAsia="宋体" w:cs="Times New Roman"/>
                <w:bCs/>
                <w:sz w:val="24"/>
                <w:highlight w:val="none"/>
                <w:u w:val="single"/>
                <w:lang w:val="en-US" w:eastAsia="zh-CN"/>
              </w:rPr>
              <w:t>00</w:t>
            </w:r>
            <w:r>
              <w:rPr>
                <w:rFonts w:hint="eastAsia" w:ascii="宋体" w:hAnsi="宋体" w:eastAsia="宋体" w:cs="Times New Roman"/>
                <w:bCs/>
                <w:sz w:val="24"/>
                <w:highlight w:val="none"/>
                <w:u w:val="single"/>
              </w:rPr>
              <w:t>分至202</w:t>
            </w:r>
            <w:r>
              <w:rPr>
                <w:rFonts w:hint="eastAsia" w:ascii="宋体" w:hAnsi="宋体" w:eastAsia="宋体" w:cs="Times New Roman"/>
                <w:bCs/>
                <w:sz w:val="24"/>
                <w:highlight w:val="none"/>
                <w:u w:val="single"/>
                <w:lang w:val="en-US" w:eastAsia="zh-CN"/>
              </w:rPr>
              <w:t>5</w:t>
            </w:r>
            <w:r>
              <w:rPr>
                <w:rFonts w:hint="eastAsia" w:ascii="宋体" w:hAnsi="宋体" w:eastAsia="宋体" w:cs="Times New Roman"/>
                <w:bCs/>
                <w:sz w:val="24"/>
                <w:highlight w:val="none"/>
                <w:u w:val="single"/>
              </w:rPr>
              <w:t>年</w:t>
            </w:r>
            <w:r>
              <w:rPr>
                <w:rFonts w:hint="eastAsia" w:ascii="宋体" w:hAnsi="宋体" w:cs="Times New Roman"/>
                <w:bCs/>
                <w:sz w:val="24"/>
                <w:highlight w:val="none"/>
                <w:u w:val="single"/>
                <w:lang w:val="en-US" w:eastAsia="zh-CN"/>
              </w:rPr>
              <w:t>06月30日</w:t>
            </w:r>
            <w:r>
              <w:rPr>
                <w:rFonts w:hint="eastAsia" w:ascii="宋体" w:hAnsi="宋体" w:eastAsia="宋体" w:cs="Times New Roman"/>
                <w:bCs/>
                <w:sz w:val="24"/>
                <w:highlight w:val="none"/>
                <w:u w:val="single"/>
                <w:lang w:val="en-US" w:eastAsia="zh-CN"/>
              </w:rPr>
              <w:t>09</w:t>
            </w:r>
            <w:r>
              <w:rPr>
                <w:rFonts w:hint="eastAsia" w:ascii="宋体" w:hAnsi="宋体" w:eastAsia="宋体" w:cs="Times New Roman"/>
                <w:bCs/>
                <w:sz w:val="24"/>
                <w:highlight w:val="none"/>
                <w:u w:val="single"/>
              </w:rPr>
              <w:t>点</w:t>
            </w:r>
            <w:r>
              <w:rPr>
                <w:rFonts w:hint="eastAsia" w:ascii="宋体" w:hAnsi="宋体" w:eastAsia="宋体" w:cs="Times New Roman"/>
                <w:bCs/>
                <w:sz w:val="24"/>
                <w:highlight w:val="none"/>
                <w:u w:val="single"/>
                <w:lang w:val="en-US" w:eastAsia="zh-CN"/>
              </w:rPr>
              <w:t>30</w:t>
            </w:r>
            <w:r>
              <w:rPr>
                <w:rFonts w:hint="eastAsia" w:ascii="宋体" w:hAnsi="宋体" w:eastAsia="宋体" w:cs="Times New Roman"/>
                <w:bCs/>
                <w:sz w:val="24"/>
                <w:highlight w:val="none"/>
                <w:u w:val="single"/>
              </w:rPr>
              <w:t>分</w:t>
            </w:r>
            <w:r>
              <w:rPr>
                <w:color w:val="000000" w:themeColor="text1"/>
                <w:sz w:val="24"/>
                <w:highlight w:val="none"/>
                <w14:textFill>
                  <w14:solidFill>
                    <w14:schemeClr w14:val="tx1"/>
                  </w14:solidFill>
                </w14:textFill>
              </w:rPr>
              <w:t>（北京时间）</w:t>
            </w:r>
          </w:p>
          <w:p w14:paraId="373A8550">
            <w:pPr>
              <w:keepNext w:val="0"/>
              <w:keepLines w:val="0"/>
              <w:pageBreakBefore w:val="0"/>
              <w:widowControl w:val="0"/>
              <w:kinsoku/>
              <w:overflowPunct/>
              <w:topLinePunct/>
              <w:autoSpaceDE w:val="0"/>
              <w:autoSpaceDN w:val="0"/>
              <w:bidi w:val="0"/>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hint="eastAsia" w:ascii="宋体" w:hAnsi="宋体"/>
                <w:bCs/>
                <w:sz w:val="24"/>
                <w:highlight w:val="none"/>
              </w:rPr>
              <w:t>未在规定时间内提交或解密投标文件</w:t>
            </w:r>
            <w:r>
              <w:rPr>
                <w:rFonts w:ascii="宋体" w:hAnsi="宋体"/>
                <w:bCs/>
                <w:sz w:val="24"/>
                <w:highlight w:val="none"/>
              </w:rPr>
              <w:t>的，视为未</w:t>
            </w:r>
            <w:r>
              <w:rPr>
                <w:rFonts w:hint="eastAsia" w:ascii="宋体" w:hAnsi="宋体"/>
                <w:bCs/>
                <w:sz w:val="24"/>
                <w:highlight w:val="none"/>
              </w:rPr>
              <w:t>提交投标</w:t>
            </w:r>
            <w:r>
              <w:rPr>
                <w:rFonts w:ascii="宋体" w:hAnsi="宋体"/>
                <w:bCs/>
                <w:sz w:val="24"/>
                <w:highlight w:val="none"/>
              </w:rPr>
              <w:t>文件</w:t>
            </w:r>
            <w:r>
              <w:rPr>
                <w:rFonts w:hint="eastAsia" w:ascii="宋体" w:hAnsi="宋体"/>
                <w:bCs/>
                <w:sz w:val="24"/>
                <w:highlight w:val="none"/>
              </w:rPr>
              <w:t>，由投标人自行承担责任</w:t>
            </w:r>
            <w:r>
              <w:rPr>
                <w:rFonts w:ascii="宋体" w:hAnsi="宋体"/>
                <w:bCs/>
                <w:sz w:val="24"/>
                <w:highlight w:val="none"/>
              </w:rPr>
              <w:t>。</w:t>
            </w:r>
          </w:p>
        </w:tc>
      </w:tr>
      <w:tr w14:paraId="572C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7E013E24">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5</w:t>
            </w:r>
          </w:p>
        </w:tc>
        <w:tc>
          <w:tcPr>
            <w:tcW w:w="1727" w:type="dxa"/>
            <w:vAlign w:val="center"/>
          </w:tcPr>
          <w:p w14:paraId="11C3A0D3">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投标人</w:t>
            </w:r>
          </w:p>
          <w:p w14:paraId="5CD8619A">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应提交的资格证明文件</w:t>
            </w:r>
          </w:p>
        </w:tc>
        <w:tc>
          <w:tcPr>
            <w:tcW w:w="7393" w:type="dxa"/>
            <w:vAlign w:val="center"/>
          </w:tcPr>
          <w:p w14:paraId="5A592FE8">
            <w:pPr>
              <w:keepNext w:val="0"/>
              <w:keepLines w:val="0"/>
              <w:pageBreakBefore w:val="0"/>
              <w:widowControl w:val="0"/>
              <w:kinsoku/>
              <w:overflowPunct/>
              <w:topLinePunct/>
              <w:bidi w:val="0"/>
              <w:adjustRightInd w:val="0"/>
              <w:snapToGrid w:val="0"/>
              <w:spacing w:line="360" w:lineRule="auto"/>
              <w:jc w:val="left"/>
              <w:rPr>
                <w:rFonts w:ascii="宋体" w:hAnsi="宋体" w:cs="宋体"/>
                <w:bCs/>
                <w:sz w:val="24"/>
                <w:highlight w:val="none"/>
              </w:rPr>
            </w:pPr>
            <w:r>
              <w:rPr>
                <w:rFonts w:hint="eastAsia" w:ascii="宋体" w:hAnsi="宋体" w:cs="宋体"/>
                <w:bCs/>
                <w:sz w:val="24"/>
                <w:highlight w:val="none"/>
              </w:rPr>
              <w:t>1.具有独立承担民事责任的能力的信用承诺书（见‘投标文件格式’）；</w:t>
            </w:r>
          </w:p>
          <w:p w14:paraId="2481EB4E">
            <w:pPr>
              <w:keepNext w:val="0"/>
              <w:keepLines w:val="0"/>
              <w:pageBreakBefore w:val="0"/>
              <w:widowControl w:val="0"/>
              <w:kinsoku/>
              <w:overflowPunct/>
              <w:topLinePunct/>
              <w:bidi w:val="0"/>
              <w:adjustRightInd w:val="0"/>
              <w:snapToGrid w:val="0"/>
              <w:spacing w:line="360" w:lineRule="auto"/>
              <w:jc w:val="left"/>
              <w:rPr>
                <w:rFonts w:ascii="宋体" w:hAnsi="宋体" w:cs="宋体"/>
                <w:bCs/>
                <w:sz w:val="24"/>
                <w:highlight w:val="none"/>
              </w:rPr>
            </w:pPr>
            <w:r>
              <w:rPr>
                <w:rFonts w:hint="eastAsia" w:ascii="宋体" w:hAnsi="宋体" w:cs="宋体"/>
                <w:bCs/>
                <w:sz w:val="24"/>
                <w:highlight w:val="none"/>
              </w:rPr>
              <w:t>2.具有良好的商业信誉和健全的财务会计制度的信用承诺书（见‘投标文件格式’）；</w:t>
            </w:r>
          </w:p>
          <w:p w14:paraId="59C7BEDA">
            <w:pPr>
              <w:keepNext w:val="0"/>
              <w:keepLines w:val="0"/>
              <w:pageBreakBefore w:val="0"/>
              <w:widowControl w:val="0"/>
              <w:kinsoku/>
              <w:overflowPunct/>
              <w:topLinePunct/>
              <w:bidi w:val="0"/>
              <w:adjustRightInd w:val="0"/>
              <w:snapToGrid w:val="0"/>
              <w:spacing w:line="360" w:lineRule="auto"/>
              <w:jc w:val="left"/>
              <w:rPr>
                <w:rFonts w:ascii="宋体" w:hAnsi="宋体" w:cs="宋体"/>
                <w:bCs/>
                <w:sz w:val="24"/>
                <w:highlight w:val="none"/>
              </w:rPr>
            </w:pPr>
            <w:r>
              <w:rPr>
                <w:rFonts w:hint="eastAsia" w:ascii="宋体" w:hAnsi="宋体" w:cs="宋体"/>
                <w:bCs/>
                <w:sz w:val="24"/>
                <w:highlight w:val="none"/>
              </w:rPr>
              <w:t>3.具有履行合同所必需的设备和专业技术能力的信用承诺书（见‘投标文件格式’）；</w:t>
            </w:r>
          </w:p>
          <w:p w14:paraId="3C770F57">
            <w:pPr>
              <w:keepNext w:val="0"/>
              <w:keepLines w:val="0"/>
              <w:pageBreakBefore w:val="0"/>
              <w:widowControl w:val="0"/>
              <w:kinsoku/>
              <w:overflowPunct/>
              <w:topLinePunct/>
              <w:bidi w:val="0"/>
              <w:adjustRightInd w:val="0"/>
              <w:snapToGrid w:val="0"/>
              <w:spacing w:line="360" w:lineRule="auto"/>
              <w:jc w:val="left"/>
              <w:rPr>
                <w:rFonts w:ascii="宋体" w:hAnsi="宋体" w:cs="宋体"/>
                <w:bCs/>
                <w:sz w:val="24"/>
                <w:highlight w:val="none"/>
              </w:rPr>
            </w:pPr>
            <w:r>
              <w:rPr>
                <w:rFonts w:hint="eastAsia" w:ascii="宋体" w:hAnsi="宋体" w:cs="宋体"/>
                <w:bCs/>
                <w:sz w:val="24"/>
                <w:highlight w:val="none"/>
              </w:rPr>
              <w:t>4.有依法缴纳税收和社会保障资金的良好记录的信用承诺书（见‘投标文件格式’）；</w:t>
            </w:r>
          </w:p>
          <w:p w14:paraId="2ABDB0F2">
            <w:pPr>
              <w:keepNext w:val="0"/>
              <w:keepLines w:val="0"/>
              <w:pageBreakBefore w:val="0"/>
              <w:widowControl w:val="0"/>
              <w:kinsoku/>
              <w:overflowPunct/>
              <w:topLinePunct/>
              <w:bidi w:val="0"/>
              <w:adjustRightInd w:val="0"/>
              <w:snapToGrid w:val="0"/>
              <w:spacing w:line="360" w:lineRule="auto"/>
              <w:jc w:val="left"/>
              <w:rPr>
                <w:rFonts w:ascii="宋体" w:hAnsi="宋体" w:cs="宋体"/>
                <w:bCs/>
                <w:sz w:val="24"/>
                <w:highlight w:val="none"/>
              </w:rPr>
            </w:pPr>
            <w:r>
              <w:rPr>
                <w:rFonts w:hint="eastAsia" w:ascii="宋体" w:hAnsi="宋体" w:cs="宋体"/>
                <w:bCs/>
                <w:sz w:val="24"/>
                <w:highlight w:val="none"/>
              </w:rPr>
              <w:t>5.参加政府采购活动前三年内，在经营活动中没有重大违法记录的信用承诺书（见‘投标文件格式’）；</w:t>
            </w:r>
          </w:p>
          <w:p w14:paraId="46A0DA2B">
            <w:pPr>
              <w:keepNext w:val="0"/>
              <w:keepLines w:val="0"/>
              <w:pageBreakBefore w:val="0"/>
              <w:widowControl w:val="0"/>
              <w:kinsoku/>
              <w:overflowPunct/>
              <w:topLinePunct/>
              <w:bidi w:val="0"/>
              <w:adjustRightInd w:val="0"/>
              <w:snapToGrid w:val="0"/>
              <w:spacing w:line="360" w:lineRule="auto"/>
              <w:jc w:val="left"/>
              <w:rPr>
                <w:rFonts w:hint="eastAsia" w:ascii="宋体" w:hAnsi="宋体" w:eastAsia="宋体" w:cs="宋体"/>
                <w:bCs/>
                <w:sz w:val="24"/>
                <w:highlight w:val="none"/>
              </w:rPr>
            </w:pPr>
            <w:r>
              <w:rPr>
                <w:rFonts w:hint="eastAsia" w:ascii="宋体" w:hAnsi="宋体" w:cs="宋体"/>
                <w:bCs/>
                <w:sz w:val="24"/>
                <w:highlight w:val="none"/>
              </w:rPr>
              <w:t>6.不存在单位负责人为同一人或者存在直接控股、管理关系的不同投标人参加</w:t>
            </w:r>
            <w:r>
              <w:rPr>
                <w:rFonts w:hint="eastAsia" w:ascii="宋体" w:hAnsi="宋体" w:eastAsia="宋体" w:cs="宋体"/>
                <w:bCs/>
                <w:sz w:val="24"/>
                <w:highlight w:val="none"/>
              </w:rPr>
              <w:t>同一合同项下的政府采购活动的信用承诺书（见‘投标文件格式’）</w:t>
            </w:r>
          </w:p>
          <w:p w14:paraId="10B4CD0F">
            <w:pPr>
              <w:keepNext w:val="0"/>
              <w:keepLines w:val="0"/>
              <w:pageBreakBefore w:val="0"/>
              <w:widowControl w:val="0"/>
              <w:kinsoku/>
              <w:overflowPunct/>
              <w:topLinePunct/>
              <w:bidi w:val="0"/>
              <w:adjustRightInd w:val="0"/>
              <w:snapToGrid w:val="0"/>
              <w:spacing w:line="360" w:lineRule="auto"/>
              <w:jc w:val="left"/>
              <w:rPr>
                <w:rFonts w:hint="default" w:ascii="宋体" w:hAnsi="宋体" w:eastAsia="宋体" w:cs="宋体"/>
                <w:bCs/>
                <w:sz w:val="24"/>
                <w:highlight w:val="none"/>
                <w:lang w:val="en-US"/>
              </w:rPr>
            </w:pPr>
            <w:r>
              <w:rPr>
                <w:rFonts w:hint="eastAsia" w:ascii="宋体" w:hAnsi="宋体" w:eastAsia="宋体" w:cs="宋体"/>
                <w:bCs/>
                <w:sz w:val="24"/>
                <w:highlight w:val="none"/>
              </w:rPr>
              <w:t>7.落实政府采购政策资格要求的证明材料</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无</w:t>
            </w:r>
          </w:p>
          <w:p w14:paraId="6B978067">
            <w:pPr>
              <w:keepNext w:val="0"/>
              <w:keepLines w:val="0"/>
              <w:pageBreakBefore w:val="0"/>
              <w:widowControl w:val="0"/>
              <w:kinsoku/>
              <w:overflowPunct/>
              <w:topLinePunct/>
              <w:bidi w:val="0"/>
              <w:adjustRightInd w:val="0"/>
              <w:snapToGrid w:val="0"/>
              <w:spacing w:line="360" w:lineRule="auto"/>
              <w:jc w:val="left"/>
              <w:rPr>
                <w:rFonts w:hint="eastAsia" w:ascii="宋体" w:hAnsi="宋体" w:eastAsia="宋体" w:cs="宋体"/>
                <w:bCs/>
                <w:sz w:val="24"/>
                <w:highlight w:val="none"/>
              </w:rPr>
            </w:pPr>
            <w:r>
              <w:rPr>
                <w:rFonts w:hint="eastAsia" w:ascii="宋体" w:hAnsi="宋体" w:cs="宋体"/>
                <w:bCs/>
                <w:sz w:val="24"/>
                <w:highlight w:val="none"/>
                <w:lang w:val="en-US" w:eastAsia="zh-CN"/>
              </w:rPr>
              <w:t>8</w:t>
            </w:r>
            <w:r>
              <w:rPr>
                <w:rFonts w:hint="eastAsia" w:ascii="宋体" w:hAnsi="宋体" w:eastAsia="宋体" w:cs="宋体"/>
                <w:bCs/>
                <w:sz w:val="24"/>
                <w:highlight w:val="none"/>
              </w:rPr>
              <w:t>.投标人应具备的特定资格条件：</w:t>
            </w:r>
          </w:p>
          <w:p w14:paraId="18AF823A">
            <w:pPr>
              <w:keepNext w:val="0"/>
              <w:keepLines w:val="0"/>
              <w:pageBreakBefore w:val="0"/>
              <w:widowControl w:val="0"/>
              <w:kinsoku/>
              <w:overflowPunct/>
              <w:topLinePunct/>
              <w:bidi w:val="0"/>
              <w:adjustRightInd w:val="0"/>
              <w:snapToGrid w:val="0"/>
              <w:spacing w:line="360" w:lineRule="auto"/>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8</w:t>
            </w:r>
            <w:r>
              <w:rPr>
                <w:rFonts w:hint="eastAsia" w:ascii="宋体" w:hAnsi="宋体" w:eastAsia="宋体" w:cs="宋体"/>
                <w:bCs/>
                <w:sz w:val="24"/>
                <w:highlight w:val="none"/>
              </w:rPr>
              <w:t>.1法律、行政法规规定的其他条件</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无</w:t>
            </w:r>
          </w:p>
          <w:p w14:paraId="23E0BD45">
            <w:pPr>
              <w:keepNext w:val="0"/>
              <w:keepLines w:val="0"/>
              <w:pageBreakBefore w:val="0"/>
              <w:widowControl w:val="0"/>
              <w:kinsoku/>
              <w:overflowPunct/>
              <w:topLinePunct/>
              <w:bidi w:val="0"/>
              <w:adjustRightInd w:val="0"/>
              <w:snapToGrid w:val="0"/>
              <w:spacing w:line="360" w:lineRule="auto"/>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8</w:t>
            </w:r>
            <w:r>
              <w:rPr>
                <w:rFonts w:hint="eastAsia" w:ascii="宋体" w:hAnsi="宋体" w:eastAsia="宋体" w:cs="宋体"/>
                <w:bCs/>
                <w:sz w:val="24"/>
                <w:highlight w:val="none"/>
              </w:rPr>
              <w:t>.2本项目的特殊资格要求</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无</w:t>
            </w:r>
          </w:p>
          <w:p w14:paraId="3B146494">
            <w:pPr>
              <w:keepNext w:val="0"/>
              <w:keepLines w:val="0"/>
              <w:pageBreakBefore w:val="0"/>
              <w:widowControl w:val="0"/>
              <w:kinsoku/>
              <w:overflowPunct/>
              <w:topLinePunct/>
              <w:bidi w:val="0"/>
              <w:adjustRightInd w:val="0"/>
              <w:snapToGrid w:val="0"/>
              <w:spacing w:line="360" w:lineRule="auto"/>
              <w:jc w:val="left"/>
              <w:rPr>
                <w:rFonts w:ascii="宋体" w:hAnsi="宋体" w:cs="宋体"/>
                <w:bCs/>
                <w:sz w:val="24"/>
                <w:highlight w:val="none"/>
              </w:rPr>
            </w:pPr>
            <w:r>
              <w:rPr>
                <w:rFonts w:hint="eastAsia" w:ascii="宋体" w:hAnsi="宋体" w:cs="宋体"/>
                <w:bCs/>
                <w:sz w:val="24"/>
                <w:highlight w:val="none"/>
              </w:rPr>
              <w:t>（</w:t>
            </w:r>
            <w:r>
              <w:rPr>
                <w:rFonts w:hint="eastAsia" w:ascii="宋体" w:hAnsi="宋体" w:cs="宋体"/>
                <w:bCs/>
                <w:sz w:val="24"/>
                <w:highlight w:val="none"/>
                <w:lang w:val="en-US" w:eastAsia="zh-CN"/>
              </w:rPr>
              <w:t>8</w:t>
            </w:r>
            <w:r>
              <w:rPr>
                <w:rFonts w:hint="eastAsia" w:ascii="宋体" w:hAnsi="宋体" w:cs="宋体"/>
                <w:bCs/>
                <w:sz w:val="24"/>
                <w:highlight w:val="none"/>
              </w:rPr>
              <w:t>.1、</w:t>
            </w:r>
            <w:r>
              <w:rPr>
                <w:rFonts w:hint="eastAsia" w:ascii="宋体" w:hAnsi="宋体" w:cs="宋体"/>
                <w:bCs/>
                <w:sz w:val="24"/>
                <w:highlight w:val="none"/>
                <w:lang w:val="en-US" w:eastAsia="zh-CN"/>
              </w:rPr>
              <w:t>8</w:t>
            </w:r>
            <w:r>
              <w:rPr>
                <w:rFonts w:hint="eastAsia" w:ascii="宋体" w:hAnsi="宋体" w:cs="宋体"/>
                <w:bCs/>
                <w:sz w:val="24"/>
                <w:highlight w:val="none"/>
              </w:rPr>
              <w:t>.2项若要求，提供的影印件或扫描件须加盖投标人公章）；</w:t>
            </w:r>
          </w:p>
          <w:p w14:paraId="243C0D2E">
            <w:pPr>
              <w:keepNext w:val="0"/>
              <w:keepLines w:val="0"/>
              <w:pageBreakBefore w:val="0"/>
              <w:widowControl w:val="0"/>
              <w:kinsoku/>
              <w:overflowPunct/>
              <w:topLinePunct/>
              <w:bidi w:val="0"/>
              <w:adjustRightInd w:val="0"/>
              <w:snapToGrid w:val="0"/>
              <w:spacing w:line="360" w:lineRule="auto"/>
              <w:jc w:val="left"/>
              <w:rPr>
                <w:rFonts w:ascii="宋体" w:hAnsi="宋体" w:cs="宋体"/>
                <w:bCs/>
                <w:sz w:val="24"/>
                <w:highlight w:val="none"/>
              </w:rPr>
            </w:pPr>
            <w:r>
              <w:rPr>
                <w:rFonts w:hint="eastAsia" w:ascii="宋体" w:hAnsi="宋体" w:cs="宋体"/>
                <w:bCs/>
                <w:sz w:val="24"/>
                <w:highlight w:val="none"/>
              </w:rPr>
              <w:t>注：以上第1-</w:t>
            </w:r>
            <w:r>
              <w:rPr>
                <w:rFonts w:hint="eastAsia" w:ascii="宋体" w:hAnsi="宋体" w:cs="宋体"/>
                <w:bCs/>
                <w:sz w:val="24"/>
                <w:highlight w:val="none"/>
                <w:lang w:val="en-US" w:eastAsia="zh-CN"/>
              </w:rPr>
              <w:t>8</w:t>
            </w:r>
            <w:r>
              <w:rPr>
                <w:rFonts w:hint="eastAsia" w:ascii="宋体" w:hAnsi="宋体" w:cs="宋体"/>
                <w:bCs/>
                <w:sz w:val="24"/>
                <w:highlight w:val="none"/>
              </w:rPr>
              <w:t>项资格证明</w:t>
            </w:r>
            <w:r>
              <w:rPr>
                <w:rFonts w:hint="eastAsia" w:ascii="宋体" w:hAnsi="宋体" w:cs="宋体"/>
                <w:bCs/>
                <w:color w:val="000000" w:themeColor="text1"/>
                <w:sz w:val="24"/>
                <w:highlight w:val="none"/>
                <w14:textFill>
                  <w14:solidFill>
                    <w14:schemeClr w14:val="tx1"/>
                  </w14:solidFill>
                </w14:textFill>
              </w:rPr>
              <w:t>文件，除中小企业声明函中存</w:t>
            </w:r>
            <w:r>
              <w:rPr>
                <w:rFonts w:hint="eastAsia" w:ascii="宋体" w:hAnsi="宋体" w:cs="宋体"/>
                <w:bCs/>
                <w:sz w:val="24"/>
                <w:highlight w:val="none"/>
              </w:rPr>
              <w:t>在明显笔误、同一内容前后填写不一致、将企业类型填写错误，资格审查小组应通过“山西政府采购平台”要求投标人作出必要的澄清外</w:t>
            </w:r>
            <w:r>
              <w:rPr>
                <w:rFonts w:hint="eastAsia" w:ascii="宋体" w:hAnsi="宋体" w:cs="宋体"/>
                <w:bCs/>
                <w:sz w:val="24"/>
                <w:highlight w:val="none"/>
                <w:lang w:eastAsia="zh-CN"/>
              </w:rPr>
              <w:t>（</w:t>
            </w:r>
            <w:r>
              <w:rPr>
                <w:rFonts w:hint="eastAsia" w:ascii="宋体" w:hAnsi="宋体" w:cs="宋体"/>
                <w:bCs/>
                <w:sz w:val="24"/>
                <w:highlight w:val="none"/>
                <w:lang w:val="en-US" w:eastAsia="zh-CN"/>
              </w:rPr>
              <w:t>非专门面向中小企业的采购项目，放在商务、技术部分</w:t>
            </w:r>
            <w:r>
              <w:rPr>
                <w:rFonts w:hint="eastAsia" w:ascii="宋体" w:hAnsi="宋体" w:cs="宋体"/>
                <w:bCs/>
                <w:sz w:val="24"/>
                <w:highlight w:val="none"/>
                <w:lang w:eastAsia="zh-CN"/>
              </w:rPr>
              <w:t>）</w:t>
            </w:r>
            <w:r>
              <w:rPr>
                <w:rFonts w:hint="eastAsia" w:ascii="宋体" w:hAnsi="宋体" w:cs="宋体"/>
                <w:bCs/>
                <w:sz w:val="24"/>
                <w:highlight w:val="none"/>
              </w:rPr>
              <w:t>，若有一项未提供或无效，均不允许在投标文件解密后补正，将导致其不具备投标资格。</w:t>
            </w:r>
          </w:p>
          <w:p w14:paraId="3AEA71EC">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sz w:val="24"/>
                <w:highlight w:val="none"/>
              </w:rPr>
            </w:pPr>
            <w:r>
              <w:rPr>
                <w:rFonts w:hint="eastAsia" w:ascii="宋体" w:hAnsi="宋体" w:cs="宋体"/>
                <w:bCs/>
                <w:sz w:val="24"/>
                <w:highlight w:val="none"/>
                <w:lang w:val="en-US" w:eastAsia="zh-CN"/>
              </w:rPr>
              <w:t>9</w:t>
            </w:r>
            <w:r>
              <w:rPr>
                <w:rFonts w:hint="eastAsia" w:ascii="宋体" w:hAnsi="宋体" w:cs="宋体"/>
                <w:bCs/>
                <w:sz w:val="24"/>
                <w:highlight w:val="none"/>
              </w:rPr>
              <w:t>.投标文件解密完成后，资格审查小组对投标人的相关主体信用记录、违规处罚情况等信用信息进行查询，并打印保存。（此项资格证明文件无需投标人提供）。</w:t>
            </w:r>
          </w:p>
          <w:p w14:paraId="51917B91">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sz w:val="24"/>
                <w:highlight w:val="none"/>
              </w:rPr>
            </w:pPr>
            <w:r>
              <w:rPr>
                <w:rFonts w:hint="eastAsia" w:ascii="宋体" w:hAnsi="宋体" w:cs="宋体"/>
                <w:bCs/>
                <w:sz w:val="24"/>
                <w:highlight w:val="none"/>
              </w:rPr>
              <w:t>（1）查询渠道：通过“信用中国”网站（http：//www.creditchina.gov.cn）、中国政府采购网（http：//www.ccgp.gov.cn）等渠道；</w:t>
            </w:r>
          </w:p>
          <w:p w14:paraId="2FEC3868">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sz w:val="24"/>
                <w:highlight w:val="none"/>
              </w:rPr>
            </w:pPr>
            <w:r>
              <w:rPr>
                <w:rFonts w:hint="eastAsia" w:ascii="宋体" w:hAnsi="宋体" w:cs="宋体"/>
                <w:bCs/>
                <w:sz w:val="24"/>
                <w:highlight w:val="none"/>
              </w:rPr>
              <w:t>（2）查询截止时点：提交投标文件截止时间；</w:t>
            </w:r>
          </w:p>
          <w:p w14:paraId="0F70F1ED">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rPr>
                <w:rFonts w:ascii="宋体" w:hAnsi="宋体" w:cs="宋体"/>
                <w:bCs/>
                <w:sz w:val="24"/>
                <w:highlight w:val="none"/>
              </w:rPr>
            </w:pPr>
            <w:r>
              <w:rPr>
                <w:rFonts w:hint="eastAsia" w:ascii="宋体" w:hAnsi="宋体" w:cs="宋体"/>
                <w:bCs/>
                <w:sz w:val="24"/>
                <w:highlight w:val="none"/>
              </w:rPr>
              <w:t>（3）查询主要内容：“信用中国”（www.creditchina.gov.cn）查询投标人是否被列入失信被执行人、重大税收违法失信主体名单；“中国政府采购网”（www.ccgp.gov.cn）查询投标人是否被列入政府采购严重违法失信行为记录名单；</w:t>
            </w:r>
          </w:p>
          <w:p w14:paraId="167D95B6">
            <w:pPr>
              <w:keepNext w:val="0"/>
              <w:keepLines w:val="0"/>
              <w:pageBreakBefore w:val="0"/>
              <w:widowControl w:val="0"/>
              <w:kinsoku/>
              <w:overflowPunct/>
              <w:topLinePunct/>
              <w:bidi w:val="0"/>
              <w:adjustRightInd w:val="0"/>
              <w:snapToGrid w:val="0"/>
              <w:spacing w:line="360" w:lineRule="auto"/>
              <w:jc w:val="left"/>
              <w:rPr>
                <w:rFonts w:ascii="宋体" w:hAnsi="宋体" w:cs="宋体"/>
                <w:bCs/>
                <w:sz w:val="24"/>
                <w:highlight w:val="none"/>
              </w:rPr>
            </w:pPr>
            <w:r>
              <w:rPr>
                <w:rFonts w:hint="eastAsia" w:ascii="宋体" w:hAnsi="宋体" w:cs="宋体"/>
                <w:bCs/>
                <w:sz w:val="24"/>
                <w:highlight w:val="none"/>
              </w:rPr>
              <w:t>（4）查询内容中投标人存在第</w:t>
            </w:r>
            <w:r>
              <w:rPr>
                <w:rFonts w:hint="eastAsia" w:ascii="宋体" w:hAnsi="宋体" w:cs="宋体"/>
                <w:bCs/>
                <w:sz w:val="24"/>
                <w:highlight w:val="none"/>
                <w:lang w:val="en-US" w:eastAsia="zh-CN"/>
              </w:rPr>
              <w:t>9</w:t>
            </w:r>
            <w:r>
              <w:rPr>
                <w:rFonts w:hint="eastAsia" w:ascii="宋体" w:hAnsi="宋体" w:cs="宋体"/>
                <w:bCs/>
                <w:sz w:val="24"/>
                <w:highlight w:val="none"/>
              </w:rPr>
              <w:t>条第3款情形的，其投标文件按无效投标处理。</w:t>
            </w:r>
          </w:p>
          <w:p w14:paraId="4143AE00">
            <w:pPr>
              <w:keepNext w:val="0"/>
              <w:keepLines w:val="0"/>
              <w:pageBreakBefore w:val="0"/>
              <w:widowControl w:val="0"/>
              <w:kinsoku/>
              <w:overflowPunct/>
              <w:topLinePunct/>
              <w:bidi w:val="0"/>
              <w:adjustRightInd w:val="0"/>
              <w:snapToGrid w:val="0"/>
              <w:spacing w:line="360" w:lineRule="auto"/>
              <w:jc w:val="left"/>
              <w:rPr>
                <w:rFonts w:hint="eastAsia" w:ascii="宋体" w:hAnsi="宋体" w:cs="宋体"/>
                <w:bCs/>
                <w:sz w:val="24"/>
                <w:highlight w:val="none"/>
              </w:rPr>
            </w:pPr>
            <w:r>
              <w:rPr>
                <w:rFonts w:hint="eastAsia" w:ascii="宋体" w:hAnsi="宋体" w:cs="宋体"/>
                <w:bCs/>
                <w:sz w:val="24"/>
                <w:highlight w:val="none"/>
              </w:rPr>
              <w:t>（5）查询记录与其他采购文件一并保存。</w:t>
            </w:r>
          </w:p>
          <w:p w14:paraId="341E593E">
            <w:pPr>
              <w:keepNext w:val="0"/>
              <w:keepLines w:val="0"/>
              <w:pageBreakBefore w:val="0"/>
              <w:widowControl w:val="0"/>
              <w:kinsoku/>
              <w:overflowPunct/>
              <w:topLinePunct/>
              <w:bidi w:val="0"/>
              <w:adjustRightInd w:val="0"/>
              <w:snapToGrid w:val="0"/>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w:t>
            </w:r>
            <w:r>
              <w:rPr>
                <w:rFonts w:hint="eastAsia" w:ascii="宋体" w:hAnsi="宋体" w:cs="宋体"/>
                <w:bCs/>
                <w:sz w:val="24"/>
                <w:highlight w:val="none"/>
                <w:lang w:val="en-US" w:eastAsia="zh-CN"/>
              </w:rPr>
              <w:t>0</w:t>
            </w:r>
            <w:r>
              <w:rPr>
                <w:rFonts w:hint="eastAsia" w:ascii="宋体" w:hAnsi="宋体" w:eastAsia="宋体" w:cs="宋体"/>
                <w:bCs/>
                <w:sz w:val="24"/>
                <w:highlight w:val="none"/>
                <w:lang w:val="en-US" w:eastAsia="zh-CN"/>
              </w:rPr>
              <w:t>.投标保证金</w:t>
            </w:r>
          </w:p>
          <w:p w14:paraId="0D261008">
            <w:pPr>
              <w:keepNext w:val="0"/>
              <w:keepLines w:val="0"/>
              <w:pageBreakBefore w:val="0"/>
              <w:widowControl w:val="0"/>
              <w:kinsoku/>
              <w:overflowPunct/>
              <w:topLinePunct/>
              <w:bidi w:val="0"/>
              <w:adjustRightInd w:val="0"/>
              <w:snapToGrid w:val="0"/>
              <w:spacing w:line="360" w:lineRule="auto"/>
              <w:jc w:val="left"/>
              <w:rPr>
                <w:rFonts w:hint="default"/>
                <w:lang w:val="en-US" w:eastAsia="zh-CN"/>
              </w:rPr>
            </w:pPr>
            <w:r>
              <w:rPr>
                <w:rFonts w:hint="eastAsia" w:ascii="宋体" w:hAnsi="宋体" w:eastAsia="宋体" w:cs="宋体"/>
                <w:bCs/>
                <w:sz w:val="24"/>
                <w:highlight w:val="none"/>
                <w:lang w:val="en-US" w:eastAsia="zh-CN"/>
              </w:rPr>
              <w:t>本项目无需缴纳。</w:t>
            </w:r>
          </w:p>
        </w:tc>
      </w:tr>
      <w:tr w14:paraId="0C22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10DF2480">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6</w:t>
            </w:r>
          </w:p>
        </w:tc>
        <w:tc>
          <w:tcPr>
            <w:tcW w:w="1727" w:type="dxa"/>
            <w:vAlign w:val="center"/>
          </w:tcPr>
          <w:p w14:paraId="20D56C37">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投标人应提交的商务、技术</w:t>
            </w:r>
          </w:p>
          <w:p w14:paraId="43BB3B73">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文件</w:t>
            </w:r>
          </w:p>
        </w:tc>
        <w:tc>
          <w:tcPr>
            <w:tcW w:w="7393" w:type="dxa"/>
            <w:shd w:val="clear" w:color="auto" w:fill="auto"/>
            <w:vAlign w:val="center"/>
          </w:tcPr>
          <w:p w14:paraId="4C97562E">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ascii="宋体" w:hAnsi="宋体"/>
                <w:bCs/>
                <w:sz w:val="24"/>
                <w:highlight w:val="none"/>
              </w:rPr>
              <w:t>★1.法定代表人（负责人）身份证明书</w:t>
            </w:r>
            <w:r>
              <w:rPr>
                <w:rFonts w:hint="eastAsia" w:ascii="宋体" w:hAnsi="宋体"/>
                <w:bCs/>
                <w:sz w:val="24"/>
                <w:highlight w:val="none"/>
              </w:rPr>
              <w:t>（</w:t>
            </w:r>
            <w:r>
              <w:rPr>
                <w:rFonts w:ascii="宋体" w:hAnsi="宋体"/>
                <w:bCs/>
                <w:sz w:val="24"/>
                <w:highlight w:val="none"/>
              </w:rPr>
              <w:t>见‘</w:t>
            </w:r>
            <w:r>
              <w:rPr>
                <w:rFonts w:hint="eastAsia" w:ascii="宋体" w:hAnsi="宋体"/>
                <w:bCs/>
                <w:sz w:val="24"/>
                <w:highlight w:val="none"/>
              </w:rPr>
              <w:t>投标</w:t>
            </w:r>
            <w:r>
              <w:rPr>
                <w:rFonts w:ascii="宋体" w:hAnsi="宋体"/>
                <w:bCs/>
                <w:sz w:val="24"/>
                <w:highlight w:val="none"/>
              </w:rPr>
              <w:t>文件格式’</w:t>
            </w:r>
            <w:r>
              <w:rPr>
                <w:rFonts w:hint="eastAsia" w:ascii="宋体" w:hAnsi="宋体"/>
                <w:bCs/>
                <w:sz w:val="24"/>
                <w:highlight w:val="none"/>
              </w:rPr>
              <w:t>）</w:t>
            </w:r>
            <w:r>
              <w:rPr>
                <w:rFonts w:ascii="宋体" w:hAnsi="宋体"/>
                <w:bCs/>
                <w:sz w:val="24"/>
                <w:highlight w:val="none"/>
              </w:rPr>
              <w:t xml:space="preserve">； </w:t>
            </w:r>
          </w:p>
          <w:p w14:paraId="30C70FE3">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ascii="宋体" w:hAnsi="宋体"/>
                <w:bCs/>
                <w:sz w:val="24"/>
                <w:highlight w:val="none"/>
              </w:rPr>
              <w:t>★2.法</w:t>
            </w:r>
            <w:r>
              <w:rPr>
                <w:rFonts w:hint="eastAsia" w:ascii="宋体" w:hAnsi="宋体" w:eastAsia="宋体" w:cs="宋体"/>
                <w:color w:val="auto"/>
                <w:sz w:val="24"/>
                <w:szCs w:val="24"/>
                <w:highlight w:val="none"/>
                <w:lang w:val="en-US" w:eastAsia="zh-CN"/>
              </w:rPr>
              <w:t>定代表人（负责人）授权委托书（见‘投标文件格式’），若授权代表为法定代表人（负责人）的可不提供；</w:t>
            </w:r>
          </w:p>
          <w:p w14:paraId="2B0BBEDE">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★3.投标函（见‘投标文件格式’）；</w:t>
            </w:r>
          </w:p>
          <w:p w14:paraId="2821733E">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★4.开标一栏表（见‘投标文件格式’）；</w:t>
            </w:r>
          </w:p>
          <w:p w14:paraId="5341FBBA">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投标文件商务要求响应表</w:t>
            </w:r>
            <w:r>
              <w:rPr>
                <w:rFonts w:hint="eastAsia" w:ascii="宋体" w:hAnsi="宋体" w:eastAsia="宋体" w:cs="宋体"/>
                <w:color w:val="auto"/>
                <w:sz w:val="24"/>
                <w:szCs w:val="24"/>
                <w:highlight w:val="none"/>
                <w:lang w:val="en-US" w:eastAsia="zh-CN"/>
              </w:rPr>
              <w:t>（见‘投标文件格式’）；</w:t>
            </w:r>
          </w:p>
          <w:p w14:paraId="2509CF4A">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投标文件技术要求响应表</w:t>
            </w:r>
            <w:r>
              <w:rPr>
                <w:rFonts w:hint="eastAsia" w:ascii="宋体" w:hAnsi="宋体" w:eastAsia="宋体" w:cs="宋体"/>
                <w:color w:val="auto"/>
                <w:sz w:val="24"/>
                <w:szCs w:val="24"/>
                <w:highlight w:val="none"/>
                <w:lang w:val="en-US" w:eastAsia="zh-CN"/>
              </w:rPr>
              <w:t>（见‘投标文件格式’）；</w:t>
            </w:r>
          </w:p>
          <w:p w14:paraId="1481D2C4">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7．投标人业绩；</w:t>
            </w:r>
          </w:p>
          <w:p w14:paraId="75510E66">
            <w:pPr>
              <w:keepNext w:val="0"/>
              <w:keepLines w:val="0"/>
              <w:pageBreakBefore w:val="0"/>
              <w:widowControl w:val="0"/>
              <w:kinsoku/>
              <w:overflowPunct/>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企业信誉；（复印件或影印件加盖投标人公章）</w:t>
            </w:r>
          </w:p>
          <w:p w14:paraId="3200DC9D">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（格式自拟）；</w:t>
            </w:r>
          </w:p>
          <w:p w14:paraId="147694FD">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．技术方案（格式自拟）；</w:t>
            </w:r>
          </w:p>
          <w:p w14:paraId="1131185A">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．投标人认为需要提供的其他商务、技术材料；</w:t>
            </w:r>
          </w:p>
          <w:p w14:paraId="2B9934E1">
            <w:pPr>
              <w:keepNext w:val="0"/>
              <w:keepLines w:val="0"/>
              <w:pageBreakBefore w:val="0"/>
              <w:widowControl w:val="0"/>
              <w:kinsoku/>
              <w:overflowPunct/>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政府采购政策性要求证明材料。</w:t>
            </w:r>
          </w:p>
          <w:p w14:paraId="31AE146E">
            <w:pPr>
              <w:keepNext w:val="0"/>
              <w:keepLines w:val="0"/>
              <w:pageBreakBefore w:val="0"/>
              <w:widowControl w:val="0"/>
              <w:kinsoku/>
              <w:overflowPunct/>
              <w:bidi w:val="0"/>
              <w:spacing w:line="360" w:lineRule="auto"/>
              <w:rPr>
                <w:rFonts w:ascii="宋体" w:hAnsi="宋体"/>
                <w:bCs/>
                <w:sz w:val="24"/>
                <w:highlight w:val="none"/>
              </w:rPr>
            </w:pPr>
            <w:r>
              <w:rPr>
                <w:rFonts w:hint="eastAsia" w:ascii="宋体" w:hAnsi="宋体" w:eastAsia="宋体" w:cs="宋体"/>
                <w:color w:val="auto"/>
                <w:sz w:val="24"/>
                <w:szCs w:val="24"/>
                <w:highlight w:val="none"/>
                <w:lang w:val="en-US" w:eastAsia="zh-CN"/>
              </w:rPr>
              <w:t>加★的商务、技术文件投标人应作出实质性响应。除对含义不明确、同类问题表述不一致或者有明显的文字和计算错误，评标委员会应通过“山西政府采购平台”要求投标人作出必要的澄清、说明或者补正外，若有一项未实质性响应，不允许在投标文件解密后补正或修正，将导致其投标无效。</w:t>
            </w:r>
          </w:p>
        </w:tc>
      </w:tr>
      <w:tr w14:paraId="72B3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14:paraId="5D74DC41">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7</w:t>
            </w:r>
          </w:p>
        </w:tc>
        <w:tc>
          <w:tcPr>
            <w:tcW w:w="1727" w:type="dxa"/>
            <w:vAlign w:val="center"/>
          </w:tcPr>
          <w:p w14:paraId="73FDE77B">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政府采购相关政策要求</w:t>
            </w:r>
          </w:p>
        </w:tc>
        <w:tc>
          <w:tcPr>
            <w:tcW w:w="7393" w:type="dxa"/>
            <w:vAlign w:val="center"/>
          </w:tcPr>
          <w:p w14:paraId="369C0C32">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1.</w:t>
            </w:r>
            <w:r>
              <w:rPr>
                <w:rFonts w:ascii="宋体" w:hAnsi="宋体"/>
                <w:bCs/>
                <w:sz w:val="24"/>
                <w:highlight w:val="none"/>
              </w:rPr>
              <w:t>采购货物未特别注明“</w:t>
            </w:r>
            <w:r>
              <w:rPr>
                <w:rFonts w:hint="eastAsia" w:ascii="宋体" w:hAnsi="宋体"/>
                <w:bCs/>
                <w:sz w:val="24"/>
                <w:highlight w:val="none"/>
                <w:lang w:eastAsia="zh-CN"/>
              </w:rPr>
              <w:t>进口产品</w:t>
            </w:r>
            <w:r>
              <w:rPr>
                <w:rFonts w:ascii="宋体" w:hAnsi="宋体"/>
                <w:bCs/>
                <w:sz w:val="24"/>
                <w:highlight w:val="none"/>
              </w:rPr>
              <w:t>”字样的，均必须采购国产产品，即非“通过中国海关报关验放进入中国境内且产自关境外的产品”，</w:t>
            </w:r>
            <w:r>
              <w:rPr>
                <w:rFonts w:hint="eastAsia" w:ascii="宋体" w:hAnsi="宋体"/>
                <w:bCs/>
                <w:sz w:val="24"/>
                <w:highlight w:val="none"/>
              </w:rPr>
              <w:t>且投报产品</w:t>
            </w:r>
            <w:r>
              <w:rPr>
                <w:rFonts w:ascii="宋体" w:hAnsi="宋体"/>
                <w:bCs/>
                <w:sz w:val="24"/>
                <w:highlight w:val="none"/>
              </w:rPr>
              <w:t>各项技术标准必须符合国家强制性标准。</w:t>
            </w:r>
          </w:p>
          <w:p w14:paraId="784DFC2D">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ascii="宋体" w:hAnsi="宋体"/>
                <w:bCs/>
                <w:sz w:val="24"/>
                <w:highlight w:val="none"/>
              </w:rPr>
              <w:t>特别注明“</w:t>
            </w:r>
            <w:r>
              <w:rPr>
                <w:rFonts w:hint="eastAsia" w:ascii="宋体" w:hAnsi="宋体"/>
                <w:bCs/>
                <w:sz w:val="24"/>
                <w:highlight w:val="none"/>
                <w:lang w:eastAsia="zh-CN"/>
              </w:rPr>
              <w:t>进口产品</w:t>
            </w:r>
            <w:r>
              <w:rPr>
                <w:rFonts w:ascii="宋体" w:hAnsi="宋体"/>
                <w:bCs/>
                <w:sz w:val="24"/>
                <w:highlight w:val="none"/>
              </w:rPr>
              <w:t>”字样的，优先采购向我国企业转让技术、与我国企业签订消化吸收再创新方案的</w:t>
            </w:r>
            <w:r>
              <w:rPr>
                <w:rFonts w:hint="eastAsia" w:ascii="宋体" w:hAnsi="宋体"/>
                <w:bCs/>
                <w:sz w:val="24"/>
                <w:highlight w:val="none"/>
              </w:rPr>
              <w:t>投</w:t>
            </w:r>
            <w:r>
              <w:rPr>
                <w:rFonts w:ascii="宋体" w:hAnsi="宋体"/>
                <w:bCs/>
                <w:sz w:val="24"/>
                <w:highlight w:val="none"/>
              </w:rPr>
              <w:t>标人的进口产品，如果有能够满足采购需求的国产产品参与，应当按照公平竞争的原则进行评审。</w:t>
            </w:r>
          </w:p>
          <w:p w14:paraId="30F096A7">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w:t>
            </w:r>
          </w:p>
          <w:p w14:paraId="233A390B">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3．采购项目中如含有计算机，必须预装正版操作系统软件产品；项目中所采购的其它软件必须为正版软件。投标人须提供《正版软件承诺》。</w:t>
            </w:r>
          </w:p>
          <w:p w14:paraId="16B2C1A6">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27C6DD69">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投标人参加本次采购活动，如涉及上述1-4项要求，均应作出实质性响应，否则将导致投标无效。</w:t>
            </w:r>
            <w:r>
              <w:rPr>
                <w:rFonts w:ascii="宋体" w:hAnsi="宋体"/>
                <w:bCs/>
                <w:sz w:val="24"/>
                <w:highlight w:val="none"/>
              </w:rPr>
              <w:t>如项目不涉及，可不提供。</w:t>
            </w:r>
          </w:p>
          <w:p w14:paraId="49060989">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ascii="宋体" w:hAnsi="宋体"/>
                <w:bCs/>
                <w:sz w:val="24"/>
                <w:highlight w:val="none"/>
              </w:rPr>
              <w:t>5.中小微企业参加本项目：</w:t>
            </w:r>
          </w:p>
          <w:p w14:paraId="4B9A2AAB">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参加本项目投标的投标人需出具投报产品制造商为符合《</w:t>
            </w:r>
            <w:r>
              <w:rPr>
                <w:rFonts w:ascii="宋体" w:hAnsi="宋体"/>
                <w:bCs/>
                <w:sz w:val="24"/>
                <w:highlight w:val="none"/>
              </w:rPr>
              <w:t>政府采购促进中小企业发展管理办法</w:t>
            </w:r>
            <w:r>
              <w:rPr>
                <w:rFonts w:hint="eastAsia" w:ascii="宋体" w:hAnsi="宋体"/>
                <w:bCs/>
                <w:sz w:val="24"/>
                <w:highlight w:val="none"/>
              </w:rPr>
              <w:t>》财库【2020】46号规定的</w:t>
            </w:r>
            <w:r>
              <w:rPr>
                <w:rFonts w:ascii="宋体" w:hAnsi="宋体"/>
                <w:bCs/>
                <w:sz w:val="24"/>
                <w:highlight w:val="none"/>
              </w:rPr>
              <w:t>《中小企业声明函》</w:t>
            </w:r>
            <w:r>
              <w:rPr>
                <w:rFonts w:hint="eastAsia" w:ascii="宋体" w:hAnsi="宋体"/>
                <w:bCs/>
                <w:sz w:val="24"/>
                <w:highlight w:val="none"/>
              </w:rPr>
              <w:t>；</w:t>
            </w:r>
          </w:p>
          <w:p w14:paraId="57976843">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6.残疾人企业参加本项目：</w:t>
            </w:r>
          </w:p>
          <w:p w14:paraId="63BDF257">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残疾人福利性单位视同小型、微型企业，残疾人企业参加本项目时，需提供符合《财政部、民政部、中国残疾人联合会关于促进残疾人就业政府采购政策的通知》财库〔2017〕141号规定的《残疾人福利性单位声明函》；</w:t>
            </w:r>
          </w:p>
          <w:p w14:paraId="2ACA4F83">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7.监狱企业参加本项目：</w:t>
            </w:r>
          </w:p>
          <w:p w14:paraId="4E8F8AF6">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监狱企业视同小型、微型企业，监狱企业参加本项目时，需提供由省级以上监狱管理局、戒毒管理局（含新疆生产建设兵团）出具的属于监狱企业的证明文件。</w:t>
            </w:r>
          </w:p>
          <w:p w14:paraId="029DC7D8">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8.联合体参加本项目：</w:t>
            </w:r>
          </w:p>
          <w:p w14:paraId="6FE674A0">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如本项目为接受大中型企业与小微企业组成联合体或者允许大中型企业向一家或者多家小微企业分包的采购项目，须附《联合体投标协议书》。</w:t>
            </w:r>
          </w:p>
          <w:p w14:paraId="5F332AAE">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注：</w:t>
            </w:r>
          </w:p>
          <w:p w14:paraId="629A48F5">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第5-8项适用于非专门面向中小微企业的采购项目。</w:t>
            </w:r>
          </w:p>
          <w:p w14:paraId="0296E4FE">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9.环保节能产品参加的项目：</w:t>
            </w:r>
          </w:p>
          <w:p w14:paraId="1F183A4F">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9.1投报产品为《节能产品政府采购品目清单》中强制性采购产品以外的其它节能产品，需提供所投产品获得国家确定的认证机构出具的处于有效期之内的节能产品认证证书。</w:t>
            </w:r>
          </w:p>
          <w:p w14:paraId="2AB2CD2D">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9.2投报产品属《环境标志产品政府采购品目清单》中的产品，需提供所投产品获得国家确定的认证机构出具的、处于有效期之内的环境标志产品认证证书。</w:t>
            </w:r>
          </w:p>
          <w:p w14:paraId="726DAF17">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10.创新产品参加的项目</w:t>
            </w:r>
          </w:p>
          <w:p w14:paraId="61E9491C">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投报根据《政府采购支持创新产品和服务实施细则》（晋财购【2019】19号）的产品，需在投标文件中提供《山西省创新产品和服务推荐清单》产品截图，并填写《创新产品或创新服务明细表》。</w:t>
            </w:r>
          </w:p>
          <w:p w14:paraId="6FEB81BC">
            <w:pPr>
              <w:keepNext w:val="0"/>
              <w:keepLines w:val="0"/>
              <w:pageBreakBefore w:val="0"/>
              <w:widowControl w:val="0"/>
              <w:kinsoku/>
              <w:overflowPunct/>
              <w:topLinePunct/>
              <w:bidi w:val="0"/>
              <w:adjustRightInd w:val="0"/>
              <w:snapToGrid w:val="0"/>
              <w:spacing w:line="360" w:lineRule="auto"/>
              <w:jc w:val="left"/>
              <w:rPr>
                <w:rFonts w:ascii="宋体" w:hAnsi="宋体"/>
                <w:bCs/>
                <w:sz w:val="24"/>
                <w:highlight w:val="none"/>
              </w:rPr>
            </w:pPr>
            <w:r>
              <w:rPr>
                <w:rFonts w:hint="eastAsia" w:ascii="宋体" w:hAnsi="宋体"/>
                <w:bCs/>
                <w:sz w:val="24"/>
                <w:highlight w:val="none"/>
              </w:rPr>
              <w:t>11.商品包装和快递包装</w:t>
            </w:r>
          </w:p>
          <w:p w14:paraId="0444ADBB">
            <w:pPr>
              <w:keepNext w:val="0"/>
              <w:keepLines w:val="0"/>
              <w:pageBreakBefore w:val="0"/>
              <w:widowControl w:val="0"/>
              <w:kinsoku/>
              <w:overflowPunct/>
              <w:topLinePunct/>
              <w:bidi w:val="0"/>
              <w:adjustRightInd w:val="0"/>
              <w:snapToGrid w:val="0"/>
              <w:spacing w:line="360" w:lineRule="auto"/>
              <w:jc w:val="left"/>
              <w:rPr>
                <w:rFonts w:ascii="Times New Roman" w:hAnsi="Times New Roman"/>
                <w:b/>
                <w:color w:val="000000" w:themeColor="text1"/>
                <w:kern w:val="0"/>
                <w:sz w:val="24"/>
                <w:highlight w:val="none"/>
                <w14:textFill>
                  <w14:solidFill>
                    <w14:schemeClr w14:val="tx1"/>
                  </w14:solidFill>
                </w14:textFill>
              </w:rPr>
            </w:pPr>
            <w:r>
              <w:rPr>
                <w:rFonts w:hint="eastAsia" w:ascii="宋体" w:hAnsi="宋体"/>
                <w:bCs/>
                <w:sz w:val="24"/>
                <w:highlight w:val="none"/>
              </w:rPr>
              <w:t>如所供货物均需按《商品包装政府采购需求标准（试行）》、《快递包装政府采购需求标准（试行）》（财办库〔2020〕123号）包装标准与保护措施进行包装，须出具《商品包装和快递包装承诺》。</w:t>
            </w:r>
          </w:p>
        </w:tc>
      </w:tr>
      <w:tr w14:paraId="7275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shd w:val="clear" w:color="auto" w:fill="auto"/>
            <w:vAlign w:val="center"/>
          </w:tcPr>
          <w:p w14:paraId="09764AC1">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8</w:t>
            </w:r>
          </w:p>
        </w:tc>
        <w:tc>
          <w:tcPr>
            <w:tcW w:w="1727" w:type="dxa"/>
            <w:vAlign w:val="center"/>
          </w:tcPr>
          <w:p w14:paraId="20772E91">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w:t>
            </w:r>
            <w:r>
              <w:rPr>
                <w:rFonts w:hint="eastAsia" w:ascii="Times New Roman" w:hAnsi="Times New Roman"/>
                <w:color w:val="000000" w:themeColor="text1"/>
                <w:sz w:val="24"/>
                <w:highlight w:val="none"/>
                <w14:textFill>
                  <w14:solidFill>
                    <w14:schemeClr w14:val="tx1"/>
                  </w14:solidFill>
                </w14:textFill>
              </w:rPr>
              <w:t>文件</w:t>
            </w:r>
            <w:r>
              <w:rPr>
                <w:rFonts w:ascii="Times New Roman" w:hAnsi="Times New Roman"/>
                <w:color w:val="000000" w:themeColor="text1"/>
                <w:sz w:val="24"/>
                <w:highlight w:val="none"/>
                <w14:textFill>
                  <w14:solidFill>
                    <w14:schemeClr w14:val="tx1"/>
                  </w14:solidFill>
                </w14:textFill>
              </w:rPr>
              <w:t>有效期</w:t>
            </w:r>
          </w:p>
        </w:tc>
        <w:tc>
          <w:tcPr>
            <w:tcW w:w="7393" w:type="dxa"/>
            <w:vAlign w:val="center"/>
          </w:tcPr>
          <w:p w14:paraId="0DE26A59">
            <w:pPr>
              <w:keepNext w:val="0"/>
              <w:keepLines w:val="0"/>
              <w:pageBreakBefore w:val="0"/>
              <w:widowControl w:val="0"/>
              <w:kinsoku/>
              <w:overflowPunct/>
              <w:topLinePunct/>
              <w:autoSpaceDE w:val="0"/>
              <w:autoSpaceDN w:val="0"/>
              <w:bidi w:val="0"/>
              <w:adjustRightInd w:val="0"/>
              <w:snapToGrid w:val="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90日历天（从提交投标文件截止之日起计算）</w:t>
            </w:r>
          </w:p>
        </w:tc>
      </w:tr>
      <w:tr w14:paraId="68B9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13" w:type="dxa"/>
            <w:shd w:val="clear" w:color="auto" w:fill="auto"/>
            <w:vAlign w:val="center"/>
          </w:tcPr>
          <w:p w14:paraId="372835CF">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9</w:t>
            </w:r>
          </w:p>
        </w:tc>
        <w:tc>
          <w:tcPr>
            <w:tcW w:w="1727" w:type="dxa"/>
            <w:vAlign w:val="center"/>
          </w:tcPr>
          <w:p w14:paraId="4B3FBB43">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评标委员会构成</w:t>
            </w:r>
          </w:p>
        </w:tc>
        <w:tc>
          <w:tcPr>
            <w:tcW w:w="7393" w:type="dxa"/>
            <w:vAlign w:val="center"/>
          </w:tcPr>
          <w:p w14:paraId="1141EC2E">
            <w:pPr>
              <w:keepNext w:val="0"/>
              <w:keepLines w:val="0"/>
              <w:pageBreakBefore w:val="0"/>
              <w:widowControl w:val="0"/>
              <w:kinsoku/>
              <w:overflowPunct/>
              <w:topLinePunct/>
              <w:autoSpaceDE w:val="0"/>
              <w:autoSpaceDN w:val="0"/>
              <w:bidi w:val="0"/>
              <w:adjustRightInd w:val="0"/>
              <w:snapToGrid w:val="0"/>
              <w:spacing w:line="400" w:lineRule="exact"/>
              <w:jc w:val="left"/>
              <w:rPr>
                <w:rFonts w:ascii="Times New Roman" w:hAnsi="Times New Roman"/>
                <w:color w:val="000000" w:themeColor="text1"/>
                <w:sz w:val="24"/>
                <w:highlight w:val="none"/>
                <w14:textFill>
                  <w14:solidFill>
                    <w14:schemeClr w14:val="tx1"/>
                  </w14:solidFill>
                </w14:textFill>
              </w:rPr>
            </w:pPr>
            <w:bookmarkStart w:id="7" w:name="_Toc14560"/>
            <w:bookmarkStart w:id="8" w:name="_Toc546"/>
            <w:bookmarkStart w:id="9" w:name="_Toc22501"/>
            <w:r>
              <w:rPr>
                <w:rFonts w:hint="eastAsia" w:ascii="Times New Roman" w:hAnsi="Times New Roman"/>
                <w:color w:val="000000" w:themeColor="text1"/>
                <w:sz w:val="24"/>
                <w:highlight w:val="none"/>
                <w14:textFill>
                  <w14:solidFill>
                    <w14:schemeClr w14:val="tx1"/>
                  </w14:solidFill>
                </w14:textFill>
              </w:rPr>
              <w:t>本项目（包）评标委员会由</w:t>
            </w:r>
            <w:r>
              <w:rPr>
                <w:rFonts w:hint="eastAsia"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val="en-US" w:eastAsia="zh-CN"/>
                <w14:textFill>
                  <w14:solidFill>
                    <w14:schemeClr w14:val="tx1"/>
                  </w14:solidFill>
                </w14:textFill>
              </w:rPr>
              <w:t>5</w:t>
            </w:r>
            <w:r>
              <w:rPr>
                <w:rFonts w:hint="eastAsia"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14:textFill>
                  <w14:solidFill>
                    <w14:schemeClr w14:val="tx1"/>
                  </w14:solidFill>
                </w14:textFill>
              </w:rPr>
              <w:t>人组成，其中评审专家</w:t>
            </w:r>
            <w:r>
              <w:rPr>
                <w:rFonts w:hint="eastAsia"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val="en-US" w:eastAsia="zh-CN"/>
                <w14:textFill>
                  <w14:solidFill>
                    <w14:schemeClr w14:val="tx1"/>
                  </w14:solidFill>
                </w14:textFill>
              </w:rPr>
              <w:t>4</w:t>
            </w:r>
            <w:r>
              <w:rPr>
                <w:rFonts w:hint="eastAsia"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14:textFill>
                  <w14:solidFill>
                    <w14:schemeClr w14:val="tx1"/>
                  </w14:solidFill>
                </w14:textFill>
              </w:rPr>
              <w:t>人，采购人代表</w:t>
            </w:r>
            <w:r>
              <w:rPr>
                <w:rFonts w:hint="eastAsia"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val="en-US" w:eastAsia="zh-CN"/>
                <w14:textFill>
                  <w14:solidFill>
                    <w14:schemeClr w14:val="tx1"/>
                  </w14:solidFill>
                </w14:textFill>
              </w:rPr>
              <w:t>1</w:t>
            </w:r>
            <w:r>
              <w:rPr>
                <w:rFonts w:hint="eastAsia"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14:textFill>
                  <w14:solidFill>
                    <w14:schemeClr w14:val="tx1"/>
                  </w14:solidFill>
                </w14:textFill>
              </w:rPr>
              <w:t>人</w:t>
            </w:r>
            <w:bookmarkEnd w:id="7"/>
            <w:bookmarkEnd w:id="8"/>
            <w:r>
              <w:rPr>
                <w:rFonts w:ascii="Times New Roman" w:hAnsi="Times New Roman"/>
                <w:color w:val="000000" w:themeColor="text1"/>
                <w:sz w:val="24"/>
                <w:highlight w:val="none"/>
                <w14:textFill>
                  <w14:solidFill>
                    <w14:schemeClr w14:val="tx1"/>
                  </w14:solidFill>
                </w14:textFill>
              </w:rPr>
              <w:t>。</w:t>
            </w:r>
            <w:bookmarkEnd w:id="9"/>
          </w:p>
        </w:tc>
      </w:tr>
      <w:tr w14:paraId="2F51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3" w:type="dxa"/>
            <w:shd w:val="clear" w:color="auto" w:fill="auto"/>
            <w:vAlign w:val="center"/>
          </w:tcPr>
          <w:p w14:paraId="16464294">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14:textFill>
                  <w14:solidFill>
                    <w14:schemeClr w14:val="tx1"/>
                  </w14:solidFill>
                </w14:textFill>
              </w:rPr>
              <w:t>0</w:t>
            </w:r>
          </w:p>
        </w:tc>
        <w:tc>
          <w:tcPr>
            <w:tcW w:w="1727" w:type="dxa"/>
            <w:vAlign w:val="center"/>
          </w:tcPr>
          <w:p w14:paraId="4817813A">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确定中标人</w:t>
            </w:r>
          </w:p>
        </w:tc>
        <w:tc>
          <w:tcPr>
            <w:tcW w:w="7393" w:type="dxa"/>
            <w:vAlign w:val="center"/>
          </w:tcPr>
          <w:p w14:paraId="2532D6BF">
            <w:pPr>
              <w:keepNext w:val="0"/>
              <w:keepLines w:val="0"/>
              <w:pageBreakBefore w:val="0"/>
              <w:widowControl w:val="0"/>
              <w:kinsoku/>
              <w:overflowPunct/>
              <w:topLinePunct/>
              <w:autoSpaceDE w:val="0"/>
              <w:autoSpaceDN w:val="0"/>
              <w:bidi w:val="0"/>
              <w:adjustRightInd w:val="0"/>
              <w:snapToGrid w:val="0"/>
              <w:jc w:val="left"/>
              <w:rPr>
                <w:rFonts w:ascii="Times New Roman" w:hAnsi="Times New Roman"/>
                <w:color w:val="000000" w:themeColor="text1"/>
                <w:sz w:val="24"/>
                <w:highlight w:val="none"/>
                <w14:textFill>
                  <w14:solidFill>
                    <w14:schemeClr w14:val="tx1"/>
                  </w14:solidFill>
                </w14:textFill>
              </w:rPr>
            </w:pPr>
            <w:bookmarkStart w:id="10" w:name="_Toc30152"/>
            <w:r>
              <w:rPr>
                <w:rFonts w:ascii="Times New Roman" w:hAnsi="Times New Roman"/>
                <w:color w:val="000000" w:themeColor="text1"/>
                <w:sz w:val="24"/>
                <w:highlight w:val="none"/>
                <w14:textFill>
                  <w14:solidFill>
                    <w14:schemeClr w14:val="tx1"/>
                  </w14:solidFill>
                </w14:textFill>
              </w:rPr>
              <w:t>本项目采用综合评分法，授权评标委员会直接确定中标人</w:t>
            </w:r>
            <w:bookmarkEnd w:id="10"/>
            <w:r>
              <w:rPr>
                <w:rFonts w:ascii="Times New Roman" w:hAnsi="Times New Roman"/>
                <w:color w:val="000000" w:themeColor="text1"/>
                <w:sz w:val="24"/>
                <w:highlight w:val="none"/>
                <w14:textFill>
                  <w14:solidFill>
                    <w14:schemeClr w14:val="tx1"/>
                  </w14:solidFill>
                </w14:textFill>
              </w:rPr>
              <w:t>。</w:t>
            </w:r>
          </w:p>
        </w:tc>
      </w:tr>
      <w:tr w14:paraId="74D3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shd w:val="clear" w:color="auto" w:fill="auto"/>
            <w:vAlign w:val="center"/>
          </w:tcPr>
          <w:p w14:paraId="12D8DB88">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14:textFill>
                  <w14:solidFill>
                    <w14:schemeClr w14:val="tx1"/>
                  </w14:solidFill>
                </w14:textFill>
              </w:rPr>
              <w:t>1</w:t>
            </w:r>
          </w:p>
        </w:tc>
        <w:tc>
          <w:tcPr>
            <w:tcW w:w="1727" w:type="dxa"/>
            <w:vAlign w:val="center"/>
          </w:tcPr>
          <w:p w14:paraId="4A568FEF">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现场勘查</w:t>
            </w:r>
          </w:p>
        </w:tc>
        <w:tc>
          <w:tcPr>
            <w:tcW w:w="7393" w:type="dxa"/>
            <w:vAlign w:val="center"/>
          </w:tcPr>
          <w:p w14:paraId="22E88CDF">
            <w:pPr>
              <w:keepNext w:val="0"/>
              <w:keepLines w:val="0"/>
              <w:pageBreakBefore w:val="0"/>
              <w:widowControl w:val="0"/>
              <w:kinsoku/>
              <w:overflowPunct/>
              <w:topLinePunct/>
              <w:autoSpaceDE w:val="0"/>
              <w:autoSpaceDN w:val="0"/>
              <w:bidi w:val="0"/>
              <w:adjustRightInd w:val="0"/>
              <w:snapToGrid w:val="0"/>
              <w:jc w:val="left"/>
              <w:rPr>
                <w:rFonts w:ascii="Times New Roman" w:hAnsi="Times New Roman"/>
                <w:color w:val="000000" w:themeColor="text1"/>
                <w:sz w:val="24"/>
                <w:highlight w:val="none"/>
                <w14:textFill>
                  <w14:solidFill>
                    <w14:schemeClr w14:val="tx1"/>
                  </w14:solidFill>
                </w14:textFill>
              </w:rPr>
            </w:pPr>
            <w:bookmarkStart w:id="11" w:name="_Toc30140"/>
            <w:r>
              <w:rPr>
                <w:rFonts w:ascii="Times New Roman" w:hAnsi="Times New Roman"/>
                <w:color w:val="000000" w:themeColor="text1"/>
                <w:sz w:val="24"/>
                <w:highlight w:val="none"/>
                <w14:textFill>
                  <w14:solidFill>
                    <w14:schemeClr w14:val="tx1"/>
                  </w14:solidFill>
                </w14:textFill>
              </w:rPr>
              <w:t>招标文件提供期限截止后，如需要，书面通知</w:t>
            </w:r>
            <w:bookmarkEnd w:id="11"/>
            <w:r>
              <w:rPr>
                <w:rFonts w:ascii="Times New Roman" w:hAnsi="Times New Roman"/>
                <w:color w:val="000000" w:themeColor="text1"/>
                <w:sz w:val="24"/>
                <w:highlight w:val="none"/>
                <w14:textFill>
                  <w14:solidFill>
                    <w14:schemeClr w14:val="tx1"/>
                  </w14:solidFill>
                </w14:textFill>
              </w:rPr>
              <w:t>。</w:t>
            </w:r>
          </w:p>
        </w:tc>
      </w:tr>
      <w:tr w14:paraId="7441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13" w:type="dxa"/>
            <w:shd w:val="clear" w:color="auto" w:fill="auto"/>
            <w:vAlign w:val="center"/>
          </w:tcPr>
          <w:p w14:paraId="544C3845">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14:textFill>
                  <w14:solidFill>
                    <w14:schemeClr w14:val="tx1"/>
                  </w14:solidFill>
                </w14:textFill>
              </w:rPr>
              <w:t>2</w:t>
            </w:r>
          </w:p>
        </w:tc>
        <w:tc>
          <w:tcPr>
            <w:tcW w:w="1727" w:type="dxa"/>
            <w:vAlign w:val="center"/>
          </w:tcPr>
          <w:p w14:paraId="7ECAF07C">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标前答疑</w:t>
            </w:r>
          </w:p>
        </w:tc>
        <w:tc>
          <w:tcPr>
            <w:tcW w:w="7393" w:type="dxa"/>
            <w:vAlign w:val="center"/>
          </w:tcPr>
          <w:p w14:paraId="25B85905">
            <w:pPr>
              <w:keepNext w:val="0"/>
              <w:keepLines w:val="0"/>
              <w:pageBreakBefore w:val="0"/>
              <w:widowControl w:val="0"/>
              <w:kinsoku/>
              <w:overflowPunct/>
              <w:topLinePunct/>
              <w:autoSpaceDE w:val="0"/>
              <w:autoSpaceDN w:val="0"/>
              <w:bidi w:val="0"/>
              <w:adjustRightInd w:val="0"/>
              <w:snapToGrid w:val="0"/>
              <w:jc w:val="left"/>
              <w:rPr>
                <w:rFonts w:ascii="Times New Roman" w:hAnsi="Times New Roman"/>
                <w:color w:val="000000" w:themeColor="text1"/>
                <w:sz w:val="24"/>
                <w:highlight w:val="none"/>
                <w14:textFill>
                  <w14:solidFill>
                    <w14:schemeClr w14:val="tx1"/>
                  </w14:solidFill>
                </w14:textFill>
              </w:rPr>
            </w:pPr>
            <w:bookmarkStart w:id="12" w:name="_Toc20850"/>
            <w:r>
              <w:rPr>
                <w:rFonts w:ascii="Times New Roman" w:hAnsi="Times New Roman"/>
                <w:color w:val="000000" w:themeColor="text1"/>
                <w:sz w:val="24"/>
                <w:highlight w:val="none"/>
                <w14:textFill>
                  <w14:solidFill>
                    <w14:schemeClr w14:val="tx1"/>
                  </w14:solidFill>
                </w14:textFill>
              </w:rPr>
              <w:t>招标文件提供期限截止后，如需要，书面通知</w:t>
            </w:r>
            <w:bookmarkEnd w:id="12"/>
            <w:r>
              <w:rPr>
                <w:rFonts w:ascii="Times New Roman" w:hAnsi="Times New Roman"/>
                <w:color w:val="000000" w:themeColor="text1"/>
                <w:sz w:val="24"/>
                <w:highlight w:val="none"/>
                <w14:textFill>
                  <w14:solidFill>
                    <w14:schemeClr w14:val="tx1"/>
                  </w14:solidFill>
                </w14:textFill>
              </w:rPr>
              <w:t>。</w:t>
            </w:r>
          </w:p>
        </w:tc>
      </w:tr>
      <w:tr w14:paraId="00E8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13" w:type="dxa"/>
            <w:vAlign w:val="center"/>
          </w:tcPr>
          <w:p w14:paraId="1122EAE0">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13</w:t>
            </w:r>
          </w:p>
        </w:tc>
        <w:tc>
          <w:tcPr>
            <w:tcW w:w="1727" w:type="dxa"/>
            <w:vAlign w:val="center"/>
          </w:tcPr>
          <w:p w14:paraId="1507AF8C">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本</w:t>
            </w:r>
            <w:r>
              <w:rPr>
                <w:rFonts w:ascii="Times New Roman" w:hAnsi="Times New Roman"/>
                <w:color w:val="000000" w:themeColor="text1"/>
                <w:sz w:val="24"/>
                <w:highlight w:val="none"/>
                <w14:textFill>
                  <w14:solidFill>
                    <w14:schemeClr w14:val="tx1"/>
                  </w14:solidFill>
                </w14:textFill>
              </w:rPr>
              <w:t>项目所属行业</w:t>
            </w:r>
          </w:p>
        </w:tc>
        <w:tc>
          <w:tcPr>
            <w:tcW w:w="7393" w:type="dxa"/>
            <w:vAlign w:val="center"/>
          </w:tcPr>
          <w:p w14:paraId="62FD1531">
            <w:pPr>
              <w:keepNext w:val="0"/>
              <w:keepLines w:val="0"/>
              <w:pageBreakBefore w:val="0"/>
              <w:widowControl w:val="0"/>
              <w:kinsoku/>
              <w:overflowPunct/>
              <w:topLinePunct/>
              <w:autoSpaceDE w:val="0"/>
              <w:autoSpaceDN w:val="0"/>
              <w:bidi w:val="0"/>
              <w:adjustRightInd w:val="0"/>
              <w:snapToGrid w:val="0"/>
              <w:jc w:val="left"/>
              <w:rPr>
                <w:rFonts w:ascii="Times New Roman" w:hAnsi="Times New Roman"/>
                <w:color w:val="000000" w:themeColor="text1"/>
                <w:sz w:val="24"/>
                <w:highlight w:val="none"/>
                <w14:textFill>
                  <w14:solidFill>
                    <w14:schemeClr w14:val="tx1"/>
                  </w14:solidFill>
                </w14:textFill>
              </w:rPr>
            </w:pPr>
            <w:bookmarkStart w:id="13" w:name="_Toc12875"/>
            <w:r>
              <w:rPr>
                <w:rFonts w:ascii="Times New Roman" w:hAnsi="Times New Roman"/>
                <w:color w:val="000000" w:themeColor="text1"/>
                <w:sz w:val="24"/>
                <w:highlight w:val="none"/>
                <w14:textFill>
                  <w14:solidFill>
                    <w14:schemeClr w14:val="tx1"/>
                  </w14:solidFill>
                </w14:textFill>
              </w:rPr>
              <w:t>根据中小企业划型标准，本项目属</w:t>
            </w:r>
            <w:r>
              <w:rPr>
                <w:rFonts w:ascii="Times New Roman" w:hAnsi="Times New Roman"/>
                <w:color w:val="000000" w:themeColor="text1"/>
                <w:sz w:val="24"/>
                <w:highlight w:val="none"/>
                <w:u w:val="single"/>
                <w14:textFill>
                  <w14:solidFill>
                    <w14:schemeClr w14:val="tx1"/>
                  </w14:solidFill>
                </w14:textFill>
              </w:rPr>
              <w:t xml:space="preserve"> </w:t>
            </w:r>
            <w:r>
              <w:rPr>
                <w:rFonts w:hint="eastAsia" w:ascii="Calibri" w:hAnsi="Calibri"/>
                <w:color w:val="auto"/>
                <w:sz w:val="24"/>
                <w:szCs w:val="24"/>
                <w:highlight w:val="none"/>
                <w:u w:val="single"/>
                <w:lang w:val="en-US" w:eastAsia="zh-CN"/>
              </w:rPr>
              <w:t xml:space="preserve">软件和信息技术服务业 </w:t>
            </w:r>
            <w:r>
              <w:rPr>
                <w:rFonts w:ascii="Times New Roman" w:hAnsi="Times New Roman"/>
                <w:color w:val="000000" w:themeColor="text1"/>
                <w:sz w:val="24"/>
                <w:highlight w:val="none"/>
                <w:u w:val="single"/>
                <w14:textFill>
                  <w14:solidFill>
                    <w14:schemeClr w14:val="tx1"/>
                  </w14:solidFill>
                </w14:textFill>
              </w:rPr>
              <w:t xml:space="preserve"> </w:t>
            </w:r>
            <w:bookmarkEnd w:id="13"/>
            <w:r>
              <w:rPr>
                <w:rFonts w:hint="eastAsia" w:ascii="Times New Roman" w:hAnsi="Times New Roman"/>
                <w:color w:val="000000" w:themeColor="text1"/>
                <w:sz w:val="24"/>
                <w:highlight w:val="none"/>
                <w14:textFill>
                  <w14:solidFill>
                    <w14:schemeClr w14:val="tx1"/>
                  </w14:solidFill>
                </w14:textFill>
              </w:rPr>
              <w:t>行业</w:t>
            </w:r>
            <w:r>
              <w:rPr>
                <w:rFonts w:ascii="Times New Roman" w:hAnsi="Times New Roman"/>
                <w:color w:val="000000" w:themeColor="text1"/>
                <w:sz w:val="24"/>
                <w:highlight w:val="none"/>
                <w14:textFill>
                  <w14:solidFill>
                    <w14:schemeClr w14:val="tx1"/>
                  </w14:solidFill>
                </w14:textFill>
              </w:rPr>
              <w:t>。</w:t>
            </w:r>
          </w:p>
        </w:tc>
      </w:tr>
      <w:tr w14:paraId="0201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13" w:type="dxa"/>
            <w:vAlign w:val="center"/>
          </w:tcPr>
          <w:p w14:paraId="1C10BF35">
            <w:pPr>
              <w:keepNext w:val="0"/>
              <w:keepLines w:val="0"/>
              <w:pageBreakBefore w:val="0"/>
              <w:widowControl w:val="0"/>
              <w:kinsoku/>
              <w:overflowPunct/>
              <w:topLinePunct/>
              <w:autoSpaceDE w:val="0"/>
              <w:autoSpaceDN w:val="0"/>
              <w:bidi w:val="0"/>
              <w:adjustRightInd w:val="0"/>
              <w:snapToGrid w:val="0"/>
              <w:jc w:val="center"/>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14</w:t>
            </w:r>
          </w:p>
        </w:tc>
        <w:tc>
          <w:tcPr>
            <w:tcW w:w="1727" w:type="dxa"/>
            <w:shd w:val="clear" w:color="auto" w:fill="auto"/>
            <w:vAlign w:val="center"/>
          </w:tcPr>
          <w:p w14:paraId="16DF64B0">
            <w:pPr>
              <w:keepNext w:val="0"/>
              <w:keepLines w:val="0"/>
              <w:pageBreakBefore w:val="0"/>
              <w:widowControl w:val="0"/>
              <w:kinsoku/>
              <w:overflowPunct/>
              <w:topLinePunct/>
              <w:autoSpaceDE w:val="0"/>
              <w:autoSpaceDN w:val="0"/>
              <w:bidi w:val="0"/>
              <w:adjustRightInd w:val="0"/>
              <w:snapToGrid w:val="0"/>
              <w:spacing w:line="360" w:lineRule="auto"/>
              <w:jc w:val="center"/>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电子化招标项目视为串通情形的认定</w:t>
            </w:r>
          </w:p>
        </w:tc>
        <w:tc>
          <w:tcPr>
            <w:tcW w:w="7393" w:type="dxa"/>
            <w:shd w:val="clear" w:color="auto" w:fill="auto"/>
            <w:vAlign w:val="center"/>
          </w:tcPr>
          <w:p w14:paraId="55695854">
            <w:pPr>
              <w:keepNext/>
              <w:topLinePunct/>
              <w:autoSpaceDE w:val="0"/>
              <w:autoSpaceDN w:val="0"/>
              <w:adjustRightInd w:val="0"/>
              <w:snapToGrid w:val="0"/>
              <w:spacing w:line="360" w:lineRule="auto"/>
              <w:jc w:val="left"/>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1、系统记录的参加同一项目的不同投标人编制电子投标文件使用的计算机或上传电子投标文件使用的计算机网卡MAC地址、IP地址一致的。</w:t>
            </w:r>
          </w:p>
          <w:p w14:paraId="09F766FB">
            <w:pPr>
              <w:keepNext/>
              <w:topLinePunct/>
              <w:autoSpaceDE w:val="0"/>
              <w:autoSpaceDN w:val="0"/>
              <w:adjustRightInd w:val="0"/>
              <w:snapToGrid w:val="0"/>
              <w:spacing w:line="360" w:lineRule="auto"/>
              <w:jc w:val="left"/>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2、投标人上传的电子投标文件若出现使用本项目其他投标人的数字证书加密的或加盖本项目的其他投标人的电子印章的。</w:t>
            </w:r>
          </w:p>
          <w:p w14:paraId="299B3A12">
            <w:pPr>
              <w:keepNext/>
              <w:topLinePunct/>
              <w:autoSpaceDE w:val="0"/>
              <w:autoSpaceDN w:val="0"/>
              <w:adjustRightInd w:val="0"/>
              <w:snapToGrid w:val="0"/>
              <w:spacing w:line="360" w:lineRule="auto"/>
              <w:jc w:val="left"/>
              <w:rPr>
                <w:rFonts w:ascii="宋体" w:hAnsi="宋体"/>
                <w:bCs/>
                <w:szCs w:val="21"/>
                <w:highlight w:val="none"/>
              </w:rPr>
            </w:pPr>
            <w:r>
              <w:rPr>
                <w:rFonts w:hint="eastAsia" w:ascii="Times New Roman" w:hAnsi="Times New Roman"/>
                <w:color w:val="000000" w:themeColor="text1"/>
                <w:sz w:val="24"/>
                <w:highlight w:val="none"/>
                <w14:textFill>
                  <w14:solidFill>
                    <w14:schemeClr w14:val="tx1"/>
                  </w14:solidFill>
                </w14:textFill>
              </w:rPr>
              <w:t>在评审过程中如发现投标人有上述情形的，评标委员会应当根据采购文件认定串通行为，认定其投标无效，评标报告详细记录相关情况，并由采购代理机构书面报告本级财政部门。</w:t>
            </w:r>
          </w:p>
        </w:tc>
      </w:tr>
      <w:tr w14:paraId="6256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13" w:type="dxa"/>
            <w:shd w:val="clear" w:color="auto" w:fill="auto"/>
            <w:vAlign w:val="center"/>
          </w:tcPr>
          <w:p w14:paraId="5E40CF3D">
            <w:pPr>
              <w:keepNext/>
              <w:topLinePunct/>
              <w:autoSpaceDE w:val="0"/>
              <w:autoSpaceDN w:val="0"/>
              <w:adjustRightInd w:val="0"/>
              <w:snapToGrid w:val="0"/>
              <w:spacing w:line="360" w:lineRule="auto"/>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15</w:t>
            </w:r>
          </w:p>
        </w:tc>
        <w:tc>
          <w:tcPr>
            <w:tcW w:w="1727" w:type="dxa"/>
            <w:shd w:val="clear" w:color="auto" w:fill="auto"/>
            <w:vAlign w:val="center"/>
          </w:tcPr>
          <w:p w14:paraId="525E4AEC">
            <w:pPr>
              <w:keepNext/>
              <w:topLinePunct/>
              <w:autoSpaceDE w:val="0"/>
              <w:autoSpaceDN w:val="0"/>
              <w:adjustRightInd w:val="0"/>
              <w:snapToGrid w:val="0"/>
              <w:spacing w:line="360" w:lineRule="auto"/>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其他</w:t>
            </w:r>
          </w:p>
        </w:tc>
        <w:tc>
          <w:tcPr>
            <w:tcW w:w="7393" w:type="dxa"/>
            <w:shd w:val="clear" w:color="auto" w:fill="auto"/>
            <w:vAlign w:val="center"/>
          </w:tcPr>
          <w:p w14:paraId="283DDE0F">
            <w:pPr>
              <w:keepNext/>
              <w:topLinePunct/>
              <w:adjustRightInd w:val="0"/>
              <w:snapToGrid w:val="0"/>
              <w:spacing w:line="360" w:lineRule="auto"/>
              <w:jc w:val="left"/>
              <w:rPr>
                <w:rFonts w:hint="default" w:ascii="宋体" w:hAnsi="宋体"/>
                <w:bCs/>
                <w:sz w:val="24"/>
                <w:highlight w:val="none"/>
                <w:lang w:val="en-US" w:eastAsia="zh-CN"/>
              </w:rPr>
            </w:pPr>
            <w:r>
              <w:rPr>
                <w:rFonts w:hint="eastAsia" w:ascii="宋体" w:hAnsi="宋体"/>
                <w:bCs/>
                <w:sz w:val="24"/>
                <w:highlight w:val="none"/>
              </w:rPr>
              <w:t>1.在</w:t>
            </w:r>
            <w:r>
              <w:rPr>
                <w:rFonts w:hint="eastAsia" w:ascii="宋体" w:hAnsi="宋体"/>
                <w:bCs/>
                <w:sz w:val="24"/>
                <w:highlight w:val="none"/>
                <w:lang w:val="en-US" w:eastAsia="zh-CN"/>
              </w:rPr>
              <w:t>公告</w:t>
            </w:r>
            <w:r>
              <w:rPr>
                <w:rFonts w:hint="eastAsia" w:ascii="宋体" w:hAnsi="宋体"/>
                <w:bCs/>
                <w:sz w:val="24"/>
                <w:highlight w:val="none"/>
              </w:rPr>
              <w:t>中标</w:t>
            </w:r>
            <w:r>
              <w:rPr>
                <w:rFonts w:hint="eastAsia" w:ascii="宋体" w:hAnsi="宋体"/>
                <w:bCs/>
                <w:sz w:val="24"/>
                <w:highlight w:val="none"/>
                <w:lang w:val="en-US" w:eastAsia="zh-CN"/>
              </w:rPr>
              <w:t>结果的同时</w:t>
            </w:r>
            <w:r>
              <w:rPr>
                <w:rFonts w:hint="eastAsia" w:ascii="宋体" w:hAnsi="宋体"/>
                <w:bCs/>
                <w:sz w:val="24"/>
                <w:highlight w:val="none"/>
              </w:rPr>
              <w:t>，</w:t>
            </w:r>
            <w:r>
              <w:rPr>
                <w:rFonts w:hint="eastAsia" w:ascii="宋体" w:hAnsi="宋体"/>
                <w:bCs/>
                <w:sz w:val="24"/>
                <w:highlight w:val="none"/>
                <w:lang w:val="en-US" w:eastAsia="zh-CN"/>
              </w:rPr>
              <w:t>采购人或</w:t>
            </w:r>
            <w:r>
              <w:rPr>
                <w:rFonts w:hint="eastAsia" w:ascii="宋体" w:hAnsi="宋体"/>
                <w:bCs/>
                <w:sz w:val="24"/>
                <w:highlight w:val="none"/>
              </w:rPr>
              <w:t>采购代理机构</w:t>
            </w:r>
            <w:r>
              <w:rPr>
                <w:rFonts w:hint="eastAsia" w:ascii="宋体" w:hAnsi="宋体"/>
                <w:bCs/>
                <w:sz w:val="24"/>
                <w:highlight w:val="none"/>
                <w:lang w:val="en-US" w:eastAsia="zh-CN"/>
              </w:rPr>
              <w:t>通过山西政府采购平台发出电子中标通知书，不在发纸质中标通知书。</w:t>
            </w:r>
          </w:p>
          <w:p w14:paraId="0C595F30">
            <w:pPr>
              <w:keepNext/>
              <w:topLinePunct/>
              <w:adjustRightInd w:val="0"/>
              <w:snapToGrid w:val="0"/>
              <w:spacing w:line="360" w:lineRule="auto"/>
              <w:jc w:val="left"/>
              <w:rPr>
                <w:rFonts w:hint="eastAsia" w:ascii="宋体" w:hAnsi="宋体"/>
                <w:bCs/>
                <w:sz w:val="24"/>
                <w:highlight w:val="none"/>
                <w:lang w:eastAsia="zh-CN"/>
              </w:rPr>
            </w:pPr>
            <w:r>
              <w:rPr>
                <w:rFonts w:hint="eastAsia" w:ascii="宋体" w:hAnsi="宋体"/>
                <w:bCs/>
                <w:sz w:val="24"/>
                <w:highlight w:val="none"/>
                <w:lang w:val="en-US" w:eastAsia="zh-CN"/>
              </w:rPr>
              <w:t>2.</w:t>
            </w:r>
            <w:r>
              <w:rPr>
                <w:rFonts w:hint="eastAsia" w:ascii="宋体" w:hAnsi="宋体"/>
                <w:bCs/>
                <w:sz w:val="24"/>
                <w:highlight w:val="none"/>
              </w:rPr>
              <w:t>在</w:t>
            </w:r>
            <w:r>
              <w:rPr>
                <w:rFonts w:hint="eastAsia" w:ascii="宋体" w:hAnsi="宋体"/>
                <w:bCs/>
                <w:sz w:val="24"/>
                <w:highlight w:val="none"/>
                <w:lang w:val="en-US" w:eastAsia="zh-CN"/>
              </w:rPr>
              <w:t>公告</w:t>
            </w:r>
            <w:r>
              <w:rPr>
                <w:rFonts w:hint="eastAsia" w:ascii="宋体" w:hAnsi="宋体"/>
                <w:bCs/>
                <w:sz w:val="24"/>
                <w:highlight w:val="none"/>
              </w:rPr>
              <w:t>中标</w:t>
            </w:r>
            <w:r>
              <w:rPr>
                <w:rFonts w:hint="eastAsia" w:ascii="宋体" w:hAnsi="宋体"/>
                <w:bCs/>
                <w:sz w:val="24"/>
                <w:highlight w:val="none"/>
                <w:lang w:val="en-US" w:eastAsia="zh-CN"/>
              </w:rPr>
              <w:t>结果的同时</w:t>
            </w:r>
            <w:r>
              <w:rPr>
                <w:rFonts w:hint="eastAsia" w:ascii="宋体" w:hAnsi="宋体"/>
                <w:bCs/>
                <w:sz w:val="24"/>
                <w:highlight w:val="none"/>
              </w:rPr>
              <w:t>，未通过资格审查的投标人可通过山西政府采购平台自行查阅其未通过的原因</w:t>
            </w:r>
            <w:r>
              <w:rPr>
                <w:rFonts w:hint="eastAsia" w:ascii="宋体" w:hAnsi="宋体"/>
                <w:bCs/>
                <w:sz w:val="24"/>
                <w:highlight w:val="none"/>
                <w:lang w:eastAsia="zh-CN"/>
              </w:rPr>
              <w:t>，</w:t>
            </w:r>
            <w:r>
              <w:rPr>
                <w:rFonts w:hint="eastAsia" w:ascii="宋体" w:hAnsi="宋体"/>
                <w:bCs/>
                <w:sz w:val="24"/>
                <w:highlight w:val="none"/>
                <w:lang w:val="en-US" w:eastAsia="zh-CN"/>
              </w:rPr>
              <w:t>采购人或</w:t>
            </w:r>
            <w:r>
              <w:rPr>
                <w:rFonts w:hint="eastAsia" w:ascii="宋体" w:hAnsi="宋体"/>
                <w:bCs/>
                <w:sz w:val="24"/>
                <w:highlight w:val="none"/>
              </w:rPr>
              <w:t>采购代理机构不再</w:t>
            </w:r>
            <w:r>
              <w:rPr>
                <w:rFonts w:hint="eastAsia" w:ascii="宋体" w:hAnsi="宋体"/>
                <w:bCs/>
                <w:sz w:val="24"/>
                <w:highlight w:val="none"/>
                <w:lang w:val="en-US" w:eastAsia="zh-CN"/>
              </w:rPr>
              <w:t>另行</w:t>
            </w:r>
            <w:r>
              <w:rPr>
                <w:rFonts w:hint="eastAsia" w:ascii="宋体" w:hAnsi="宋体"/>
                <w:bCs/>
                <w:sz w:val="24"/>
                <w:highlight w:val="none"/>
              </w:rPr>
              <w:t>告知</w:t>
            </w:r>
            <w:r>
              <w:rPr>
                <w:rFonts w:hint="eastAsia" w:ascii="宋体" w:hAnsi="宋体"/>
                <w:bCs/>
                <w:sz w:val="24"/>
                <w:highlight w:val="none"/>
                <w:lang w:eastAsia="zh-CN"/>
              </w:rPr>
              <w:t>。</w:t>
            </w:r>
          </w:p>
          <w:p w14:paraId="47989723">
            <w:pPr>
              <w:keepNext/>
              <w:topLinePunct/>
              <w:adjustRightInd w:val="0"/>
              <w:snapToGrid w:val="0"/>
              <w:spacing w:line="360" w:lineRule="auto"/>
              <w:jc w:val="left"/>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bCs/>
                <w:sz w:val="24"/>
                <w:highlight w:val="none"/>
                <w:lang w:val="en-US" w:eastAsia="zh-CN"/>
              </w:rPr>
              <w:t>3</w:t>
            </w:r>
            <w:r>
              <w:rPr>
                <w:rFonts w:hint="eastAsia" w:ascii="宋体" w:hAnsi="宋体"/>
                <w:bCs/>
                <w:sz w:val="24"/>
                <w:highlight w:val="none"/>
              </w:rPr>
              <w:t>.在</w:t>
            </w:r>
            <w:r>
              <w:rPr>
                <w:rFonts w:hint="eastAsia" w:ascii="宋体" w:hAnsi="宋体"/>
                <w:bCs/>
                <w:sz w:val="24"/>
                <w:highlight w:val="none"/>
                <w:lang w:val="en-US" w:eastAsia="zh-CN"/>
              </w:rPr>
              <w:t>公告</w:t>
            </w:r>
            <w:r>
              <w:rPr>
                <w:rFonts w:hint="eastAsia" w:ascii="宋体" w:hAnsi="宋体"/>
                <w:bCs/>
                <w:sz w:val="24"/>
                <w:highlight w:val="none"/>
              </w:rPr>
              <w:t>中标</w:t>
            </w:r>
            <w:r>
              <w:rPr>
                <w:rFonts w:hint="eastAsia" w:ascii="宋体" w:hAnsi="宋体"/>
                <w:bCs/>
                <w:sz w:val="24"/>
                <w:highlight w:val="none"/>
                <w:lang w:val="en-US" w:eastAsia="zh-CN"/>
              </w:rPr>
              <w:t>结果的同时</w:t>
            </w:r>
            <w:r>
              <w:rPr>
                <w:rFonts w:hint="eastAsia" w:ascii="宋体" w:hAnsi="宋体"/>
                <w:bCs/>
                <w:sz w:val="24"/>
                <w:highlight w:val="none"/>
              </w:rPr>
              <w:t>，采用综合评分法评审的</w:t>
            </w:r>
            <w:r>
              <w:rPr>
                <w:rFonts w:hint="eastAsia" w:ascii="宋体" w:hAnsi="宋体"/>
                <w:bCs/>
                <w:sz w:val="24"/>
                <w:highlight w:val="none"/>
                <w:lang w:val="en-US" w:eastAsia="zh-CN"/>
              </w:rPr>
              <w:t>采购项目</w:t>
            </w:r>
            <w:r>
              <w:rPr>
                <w:rFonts w:hint="eastAsia" w:ascii="宋体" w:hAnsi="宋体"/>
                <w:bCs/>
                <w:sz w:val="24"/>
                <w:highlight w:val="none"/>
              </w:rPr>
              <w:t>，未中标投标人可通过山西政府采购平台自行查阅</w:t>
            </w:r>
            <w:r>
              <w:rPr>
                <w:rFonts w:hint="eastAsia" w:ascii="宋体" w:hAnsi="宋体"/>
                <w:bCs/>
                <w:sz w:val="24"/>
                <w:highlight w:val="none"/>
                <w:lang w:val="en-US" w:eastAsia="zh-CN"/>
              </w:rPr>
              <w:t>本人</w:t>
            </w:r>
            <w:r>
              <w:rPr>
                <w:rFonts w:hint="eastAsia" w:ascii="宋体" w:hAnsi="宋体"/>
                <w:bCs/>
                <w:sz w:val="24"/>
                <w:highlight w:val="none"/>
              </w:rPr>
              <w:t>的评审得分与排序，</w:t>
            </w:r>
            <w:r>
              <w:rPr>
                <w:rFonts w:hint="eastAsia" w:ascii="宋体" w:hAnsi="宋体"/>
                <w:bCs/>
                <w:sz w:val="24"/>
                <w:highlight w:val="none"/>
                <w:lang w:val="en-US" w:eastAsia="zh-CN"/>
              </w:rPr>
              <w:t>采购人或</w:t>
            </w:r>
            <w:r>
              <w:rPr>
                <w:rFonts w:hint="eastAsia" w:ascii="宋体" w:hAnsi="宋体"/>
                <w:bCs/>
                <w:sz w:val="24"/>
                <w:highlight w:val="none"/>
              </w:rPr>
              <w:t>采购代理机构不再</w:t>
            </w:r>
            <w:r>
              <w:rPr>
                <w:rFonts w:hint="eastAsia" w:ascii="宋体" w:hAnsi="宋体"/>
                <w:bCs/>
                <w:sz w:val="24"/>
                <w:highlight w:val="none"/>
                <w:lang w:val="en-US" w:eastAsia="zh-CN"/>
              </w:rPr>
              <w:t>另行</w:t>
            </w:r>
            <w:r>
              <w:rPr>
                <w:rFonts w:hint="eastAsia" w:ascii="宋体" w:hAnsi="宋体"/>
                <w:bCs/>
                <w:sz w:val="24"/>
                <w:highlight w:val="none"/>
              </w:rPr>
              <w:t>告知</w:t>
            </w:r>
            <w:r>
              <w:rPr>
                <w:rFonts w:hint="eastAsia" w:ascii="宋体" w:hAnsi="宋体"/>
                <w:bCs/>
                <w:sz w:val="24"/>
                <w:highlight w:val="none"/>
                <w:lang w:eastAsia="zh-CN"/>
              </w:rPr>
              <w:t>。</w:t>
            </w:r>
          </w:p>
        </w:tc>
      </w:tr>
    </w:tbl>
    <w:p w14:paraId="082D901F">
      <w:pPr>
        <w:pStyle w:val="30"/>
        <w:keepNext w:val="0"/>
        <w:keepLines w:val="0"/>
        <w:pageBreakBefore w:val="0"/>
        <w:widowControl w:val="0"/>
        <w:kinsoku/>
        <w:overflowPunct/>
        <w:bidi w:val="0"/>
        <w:spacing w:line="360" w:lineRule="auto"/>
        <w:ind w:firstLine="0" w:firstLineChars="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注：本表内容与投标人须知内容不一致的，以本表内容为准。</w:t>
      </w:r>
    </w:p>
    <w:p w14:paraId="5A35BF10">
      <w:pPr>
        <w:keepNext w:val="0"/>
        <w:keepLines w:val="0"/>
        <w:pageBreakBefore w:val="0"/>
        <w:widowControl w:val="0"/>
        <w:tabs>
          <w:tab w:val="left" w:pos="2070"/>
          <w:tab w:val="center" w:pos="4365"/>
        </w:tabs>
        <w:kinsoku/>
        <w:overflowPunct/>
        <w:bidi w:val="0"/>
        <w:snapToGrid w:val="0"/>
        <w:spacing w:line="360" w:lineRule="auto"/>
        <w:jc w:val="center"/>
        <w:outlineLvl w:val="1"/>
        <w:rPr>
          <w:rFonts w:ascii="Times New Roman" w:hAnsi="Times New Roman"/>
          <w:b/>
          <w:color w:val="000000" w:themeColor="text1"/>
          <w:kern w:val="0"/>
          <w:sz w:val="32"/>
          <w:szCs w:val="32"/>
          <w:highlight w:val="none"/>
          <w14:textFill>
            <w14:solidFill>
              <w14:schemeClr w14:val="tx1"/>
            </w14:solidFill>
          </w14:textFill>
        </w:rPr>
      </w:pPr>
      <w:bookmarkStart w:id="14" w:name="_Toc180347450"/>
    </w:p>
    <w:p w14:paraId="75BBA7F2">
      <w:pPr>
        <w:keepNext w:val="0"/>
        <w:keepLines w:val="0"/>
        <w:pageBreakBefore w:val="0"/>
        <w:widowControl w:val="0"/>
        <w:tabs>
          <w:tab w:val="left" w:pos="2070"/>
          <w:tab w:val="center" w:pos="4365"/>
        </w:tabs>
        <w:kinsoku/>
        <w:overflowPunct/>
        <w:bidi w:val="0"/>
        <w:snapToGrid w:val="0"/>
        <w:spacing w:line="360" w:lineRule="auto"/>
        <w:jc w:val="center"/>
        <w:outlineLvl w:val="1"/>
        <w:rPr>
          <w:rFonts w:ascii="Times New Roman" w:hAnsi="Times New Roman"/>
          <w:b/>
          <w:color w:val="000000" w:themeColor="text1"/>
          <w:kern w:val="0"/>
          <w:sz w:val="32"/>
          <w:szCs w:val="32"/>
          <w:highlight w:val="none"/>
          <w14:textFill>
            <w14:solidFill>
              <w14:schemeClr w14:val="tx1"/>
            </w14:solidFill>
          </w14:textFill>
        </w:rPr>
      </w:pPr>
    </w:p>
    <w:p w14:paraId="19F26F7F">
      <w:pPr>
        <w:keepNext w:val="0"/>
        <w:keepLines w:val="0"/>
        <w:pageBreakBefore w:val="0"/>
        <w:widowControl w:val="0"/>
        <w:tabs>
          <w:tab w:val="left" w:pos="2070"/>
          <w:tab w:val="center" w:pos="4365"/>
        </w:tabs>
        <w:kinsoku/>
        <w:overflowPunct/>
        <w:bidi w:val="0"/>
        <w:snapToGrid w:val="0"/>
        <w:spacing w:line="360" w:lineRule="auto"/>
        <w:jc w:val="center"/>
        <w:outlineLvl w:val="1"/>
        <w:rPr>
          <w:rFonts w:ascii="Times New Roman" w:hAnsi="Times New Roman"/>
          <w:b/>
          <w:color w:val="000000" w:themeColor="text1"/>
          <w:kern w:val="0"/>
          <w:sz w:val="32"/>
          <w:szCs w:val="32"/>
          <w:highlight w:val="none"/>
          <w14:textFill>
            <w14:solidFill>
              <w14:schemeClr w14:val="tx1"/>
            </w14:solidFill>
          </w14:textFill>
        </w:rPr>
      </w:pPr>
    </w:p>
    <w:p w14:paraId="275B11D0">
      <w:pPr>
        <w:keepNext w:val="0"/>
        <w:keepLines w:val="0"/>
        <w:pageBreakBefore w:val="0"/>
        <w:widowControl w:val="0"/>
        <w:tabs>
          <w:tab w:val="left" w:pos="2070"/>
          <w:tab w:val="center" w:pos="4365"/>
        </w:tabs>
        <w:kinsoku/>
        <w:overflowPunct/>
        <w:bidi w:val="0"/>
        <w:snapToGrid w:val="0"/>
        <w:spacing w:line="360" w:lineRule="auto"/>
        <w:jc w:val="center"/>
        <w:outlineLvl w:val="1"/>
        <w:rPr>
          <w:rFonts w:ascii="Times New Roman" w:hAnsi="Times New Roman"/>
          <w:b/>
          <w:color w:val="000000" w:themeColor="text1"/>
          <w:kern w:val="0"/>
          <w:sz w:val="32"/>
          <w:szCs w:val="32"/>
          <w:highlight w:val="none"/>
          <w14:textFill>
            <w14:solidFill>
              <w14:schemeClr w14:val="tx1"/>
            </w14:solidFill>
          </w14:textFill>
        </w:rPr>
      </w:pPr>
    </w:p>
    <w:p w14:paraId="28109AF4">
      <w:pPr>
        <w:keepNext w:val="0"/>
        <w:keepLines w:val="0"/>
        <w:pageBreakBefore w:val="0"/>
        <w:widowControl w:val="0"/>
        <w:tabs>
          <w:tab w:val="left" w:pos="2070"/>
          <w:tab w:val="center" w:pos="4365"/>
        </w:tabs>
        <w:kinsoku/>
        <w:overflowPunct/>
        <w:bidi w:val="0"/>
        <w:snapToGrid w:val="0"/>
        <w:spacing w:line="360" w:lineRule="auto"/>
        <w:jc w:val="center"/>
        <w:outlineLvl w:val="1"/>
        <w:rPr>
          <w:rFonts w:ascii="Times New Roman" w:hAnsi="Times New Roman"/>
          <w:b/>
          <w:color w:val="000000" w:themeColor="text1"/>
          <w:kern w:val="0"/>
          <w:sz w:val="32"/>
          <w:szCs w:val="32"/>
          <w:highlight w:val="none"/>
          <w14:textFill>
            <w14:solidFill>
              <w14:schemeClr w14:val="tx1"/>
            </w14:solidFill>
          </w14:textFill>
        </w:rPr>
      </w:pPr>
    </w:p>
    <w:p w14:paraId="493B7350">
      <w:pPr>
        <w:keepNext w:val="0"/>
        <w:keepLines w:val="0"/>
        <w:pageBreakBefore w:val="0"/>
        <w:widowControl w:val="0"/>
        <w:tabs>
          <w:tab w:val="left" w:pos="2070"/>
          <w:tab w:val="center" w:pos="4365"/>
        </w:tabs>
        <w:kinsoku/>
        <w:overflowPunct/>
        <w:bidi w:val="0"/>
        <w:snapToGrid w:val="0"/>
        <w:spacing w:line="360" w:lineRule="auto"/>
        <w:jc w:val="center"/>
        <w:outlineLvl w:val="1"/>
        <w:rPr>
          <w:rFonts w:ascii="Times New Roman" w:hAnsi="Times New Roman"/>
          <w:b/>
          <w:color w:val="000000" w:themeColor="text1"/>
          <w:kern w:val="0"/>
          <w:sz w:val="32"/>
          <w:szCs w:val="32"/>
          <w:highlight w:val="none"/>
          <w14:textFill>
            <w14:solidFill>
              <w14:schemeClr w14:val="tx1"/>
            </w14:solidFill>
          </w14:textFill>
        </w:rPr>
      </w:pPr>
    </w:p>
    <w:p w14:paraId="15E253CD">
      <w:pPr>
        <w:pStyle w:val="5"/>
        <w:keepNext w:val="0"/>
        <w:keepLines w:val="0"/>
        <w:pageBreakBefore w:val="0"/>
        <w:widowControl w:val="0"/>
        <w:kinsoku/>
        <w:overflowPunct/>
        <w:bidi w:val="0"/>
        <w:rPr>
          <w:rFonts w:ascii="Times New Roman" w:hAnsi="Times New Roman"/>
          <w:b/>
          <w:color w:val="000000" w:themeColor="text1"/>
          <w:kern w:val="0"/>
          <w:sz w:val="32"/>
          <w:szCs w:val="32"/>
          <w:highlight w:val="none"/>
          <w14:textFill>
            <w14:solidFill>
              <w14:schemeClr w14:val="tx1"/>
            </w14:solidFill>
          </w14:textFill>
        </w:rPr>
      </w:pPr>
    </w:p>
    <w:p w14:paraId="1C9F97FC">
      <w:pPr>
        <w:keepNext w:val="0"/>
        <w:keepLines w:val="0"/>
        <w:pageBreakBefore w:val="0"/>
        <w:widowControl w:val="0"/>
        <w:tabs>
          <w:tab w:val="left" w:pos="2070"/>
          <w:tab w:val="center" w:pos="4365"/>
        </w:tabs>
        <w:kinsoku/>
        <w:wordWrap/>
        <w:overflowPunct/>
        <w:topLinePunct/>
        <w:autoSpaceDE/>
        <w:autoSpaceDN/>
        <w:bidi w:val="0"/>
        <w:snapToGrid w:val="0"/>
        <w:spacing w:line="360" w:lineRule="auto"/>
        <w:jc w:val="center"/>
        <w:textAlignment w:val="auto"/>
        <w:outlineLvl w:val="1"/>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电子投标须知附表</w:t>
      </w:r>
      <w:bookmarkEnd w:id="14"/>
    </w:p>
    <w:tbl>
      <w:tblPr>
        <w:tblStyle w:val="23"/>
        <w:tblW w:w="5511" w:type="pct"/>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783"/>
        <w:gridCol w:w="6785"/>
      </w:tblGrid>
      <w:tr w14:paraId="6DDD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825" w:type="dxa"/>
            <w:vAlign w:val="center"/>
          </w:tcPr>
          <w:p w14:paraId="07B8BBAA">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序号</w:t>
            </w:r>
          </w:p>
        </w:tc>
        <w:tc>
          <w:tcPr>
            <w:tcW w:w="1783" w:type="dxa"/>
            <w:vAlign w:val="center"/>
          </w:tcPr>
          <w:p w14:paraId="53FF2FE3">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条款名称</w:t>
            </w:r>
          </w:p>
        </w:tc>
        <w:tc>
          <w:tcPr>
            <w:tcW w:w="6785" w:type="dxa"/>
            <w:vAlign w:val="center"/>
          </w:tcPr>
          <w:p w14:paraId="440A2228">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编列内容</w:t>
            </w:r>
          </w:p>
        </w:tc>
      </w:tr>
      <w:tr w14:paraId="539F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2BAC5D3B">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sz w:val="24"/>
                <w:highlight w:val="none"/>
              </w:rPr>
            </w:pPr>
            <w:r>
              <w:rPr>
                <w:rFonts w:ascii="Times New Roman" w:hAnsi="Times New Roman"/>
                <w:sz w:val="24"/>
                <w:highlight w:val="none"/>
              </w:rPr>
              <w:t>1</w:t>
            </w:r>
          </w:p>
        </w:tc>
        <w:tc>
          <w:tcPr>
            <w:tcW w:w="1783" w:type="dxa"/>
            <w:shd w:val="clear" w:color="auto" w:fill="auto"/>
            <w:vAlign w:val="center"/>
          </w:tcPr>
          <w:p w14:paraId="1385DEEF">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sz w:val="24"/>
                <w:highlight w:val="none"/>
              </w:rPr>
            </w:pPr>
            <w:r>
              <w:rPr>
                <w:rFonts w:hint="eastAsia" w:ascii="Times New Roman" w:hAnsi="Times New Roman"/>
                <w:color w:val="000000"/>
                <w:sz w:val="24"/>
                <w:highlight w:val="none"/>
              </w:rPr>
              <w:t>投标文件</w:t>
            </w:r>
            <w:r>
              <w:rPr>
                <w:rFonts w:ascii="Times New Roman" w:hAnsi="Times New Roman"/>
                <w:color w:val="000000"/>
                <w:sz w:val="24"/>
                <w:highlight w:val="none"/>
              </w:rPr>
              <w:t>编制</w:t>
            </w:r>
            <w:r>
              <w:rPr>
                <w:rFonts w:hint="eastAsia" w:ascii="Times New Roman" w:hAnsi="Times New Roman"/>
                <w:color w:val="000000"/>
                <w:sz w:val="24"/>
                <w:highlight w:val="none"/>
              </w:rPr>
              <w:t>、提交</w:t>
            </w:r>
          </w:p>
        </w:tc>
        <w:tc>
          <w:tcPr>
            <w:tcW w:w="6785" w:type="dxa"/>
            <w:shd w:val="clear" w:color="auto" w:fill="auto"/>
            <w:vAlign w:val="center"/>
          </w:tcPr>
          <w:p w14:paraId="2C5CD289">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sz w:val="24"/>
                <w:highlight w:val="none"/>
              </w:rPr>
            </w:pPr>
            <w:r>
              <w:rPr>
                <w:rFonts w:hint="eastAsia"/>
                <w:sz w:val="24"/>
                <w:highlight w:val="none"/>
              </w:rPr>
              <w:t>1.1投标人应使用山西政府采购平台的投标文件编制工具，按其操作手册编制电子投标文件，并按照本招标文件规定及“山西政府采购平台”系统规定完成签字、盖章。同时使用CA数字证书对投标文件进行加密。</w:t>
            </w:r>
          </w:p>
          <w:p w14:paraId="33C0BC1F">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sz w:val="24"/>
                <w:highlight w:val="none"/>
              </w:rPr>
            </w:pPr>
            <w:r>
              <w:rPr>
                <w:rFonts w:hint="eastAsia"/>
                <w:sz w:val="24"/>
                <w:highlight w:val="none"/>
              </w:rPr>
              <w:t>1.2上传电子投标文件时，需对应系统中每个模块形成独立的PDF格式文件，并按对应模块要求，逐条上传相应内容，将所有内容上传完成后保存、加密、递交（提交）。</w:t>
            </w:r>
          </w:p>
          <w:p w14:paraId="71A27696">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sz w:val="24"/>
                <w:highlight w:val="none"/>
              </w:rPr>
            </w:pPr>
            <w:r>
              <w:rPr>
                <w:rFonts w:hint="eastAsia"/>
                <w:sz w:val="24"/>
                <w:highlight w:val="none"/>
              </w:rPr>
              <w:t>1.3投标文件中所附各类证件、证书、证明等，均随投标文件统一编排页码后上传。</w:t>
            </w:r>
          </w:p>
        </w:tc>
      </w:tr>
      <w:tr w14:paraId="0D3D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3999CB7E">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sz w:val="24"/>
                <w:highlight w:val="none"/>
              </w:rPr>
            </w:pPr>
            <w:r>
              <w:rPr>
                <w:rFonts w:ascii="Times New Roman" w:hAnsi="Times New Roman"/>
                <w:sz w:val="24"/>
                <w:highlight w:val="none"/>
              </w:rPr>
              <w:t>2</w:t>
            </w:r>
          </w:p>
        </w:tc>
        <w:tc>
          <w:tcPr>
            <w:tcW w:w="1783" w:type="dxa"/>
            <w:shd w:val="clear" w:color="auto" w:fill="auto"/>
            <w:vAlign w:val="center"/>
          </w:tcPr>
          <w:p w14:paraId="0061E856">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sz w:val="24"/>
                <w:highlight w:val="none"/>
              </w:rPr>
            </w:pPr>
            <w:r>
              <w:rPr>
                <w:rFonts w:ascii="Times New Roman" w:hAnsi="Times New Roman"/>
                <w:color w:val="000000"/>
                <w:sz w:val="24"/>
                <w:highlight w:val="none"/>
              </w:rPr>
              <w:t>电子</w:t>
            </w:r>
            <w:r>
              <w:rPr>
                <w:rFonts w:hint="eastAsia" w:ascii="Times New Roman" w:hAnsi="Times New Roman"/>
                <w:color w:val="000000"/>
                <w:sz w:val="24"/>
                <w:highlight w:val="none"/>
              </w:rPr>
              <w:t>投标文件</w:t>
            </w:r>
            <w:r>
              <w:rPr>
                <w:rFonts w:ascii="Times New Roman" w:hAnsi="Times New Roman"/>
                <w:color w:val="000000"/>
                <w:sz w:val="24"/>
                <w:highlight w:val="none"/>
              </w:rPr>
              <w:t>解密</w:t>
            </w:r>
          </w:p>
        </w:tc>
        <w:tc>
          <w:tcPr>
            <w:tcW w:w="6785" w:type="dxa"/>
            <w:shd w:val="clear" w:color="auto" w:fill="auto"/>
            <w:vAlign w:val="center"/>
          </w:tcPr>
          <w:p w14:paraId="2B80AA50">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sz w:val="24"/>
                <w:highlight w:val="none"/>
              </w:rPr>
            </w:pPr>
            <w:r>
              <w:rPr>
                <w:rFonts w:hint="eastAsia"/>
                <w:sz w:val="24"/>
                <w:highlight w:val="none"/>
              </w:rPr>
              <w:t>2.1在招标文件规定的投标文件解密时间，采购代理机构应通过山西政府采购平台发出解密指令，投标人收到解密指令后，须使用加密投标文件时所使用的CA数字证书对已递交（上传）的投标文件进行解密（远程解密）。</w:t>
            </w:r>
          </w:p>
          <w:p w14:paraId="50E3A8D3">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sz w:val="24"/>
                <w:highlight w:val="none"/>
              </w:rPr>
            </w:pPr>
            <w:r>
              <w:rPr>
                <w:rFonts w:hint="eastAsia"/>
                <w:sz w:val="24"/>
                <w:highlight w:val="none"/>
              </w:rPr>
              <w:t>2.2投标文件解密时</w:t>
            </w:r>
            <w:r>
              <w:rPr>
                <w:rFonts w:hint="eastAsia"/>
                <w:color w:val="auto"/>
                <w:sz w:val="24"/>
                <w:highlight w:val="none"/>
              </w:rPr>
              <w:t>间：</w:t>
            </w:r>
            <w:r>
              <w:rPr>
                <w:rFonts w:hint="eastAsia"/>
                <w:color w:val="auto"/>
                <w:sz w:val="24"/>
                <w:highlight w:val="none"/>
                <w:lang w:val="en-US" w:eastAsia="zh-CN"/>
              </w:rPr>
              <w:t>30</w:t>
            </w:r>
            <w:r>
              <w:rPr>
                <w:rFonts w:hint="eastAsia"/>
                <w:color w:val="auto"/>
                <w:sz w:val="24"/>
                <w:highlight w:val="none"/>
              </w:rPr>
              <w:t>分钟。</w:t>
            </w:r>
          </w:p>
          <w:p w14:paraId="4F204F44">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sz w:val="24"/>
                <w:highlight w:val="none"/>
              </w:rPr>
            </w:pPr>
            <w:r>
              <w:rPr>
                <w:rFonts w:hint="eastAsia"/>
                <w:sz w:val="24"/>
                <w:highlight w:val="none"/>
              </w:rPr>
              <w:t>2.3投标文件解密流程：使用用户名密码或CA数字证书登录山西政府采购平台→项目采购→开标评标→找到对应项目→解密→输入CA密码→开始下载→解密完成。</w:t>
            </w:r>
          </w:p>
          <w:p w14:paraId="7FF50C02">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sz w:val="24"/>
                <w:highlight w:val="none"/>
              </w:rPr>
            </w:pPr>
            <w:r>
              <w:rPr>
                <w:rFonts w:hint="eastAsia"/>
                <w:sz w:val="24"/>
                <w:highlight w:val="none"/>
              </w:rPr>
              <w:t>2.4因投标人使用非本次投标文件加密用CA数字证书解密、使用的属于注销或无效或损坏的CA数字证书解密、网络不畅等自身原因造成投标文件未在规定时间内解密的，视为未提交投标文件。</w:t>
            </w:r>
          </w:p>
        </w:tc>
      </w:tr>
      <w:tr w14:paraId="1487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14:paraId="7C106CEB">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sz w:val="24"/>
                <w:highlight w:val="none"/>
              </w:rPr>
            </w:pPr>
            <w:r>
              <w:rPr>
                <w:rFonts w:ascii="Times New Roman" w:hAnsi="Times New Roman"/>
                <w:sz w:val="24"/>
                <w:highlight w:val="none"/>
              </w:rPr>
              <w:t>3</w:t>
            </w:r>
          </w:p>
        </w:tc>
        <w:tc>
          <w:tcPr>
            <w:tcW w:w="1783" w:type="dxa"/>
            <w:shd w:val="clear" w:color="auto" w:fill="auto"/>
            <w:vAlign w:val="center"/>
          </w:tcPr>
          <w:p w14:paraId="0726F6CF">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Times New Roman" w:hAnsi="Times New Roman"/>
                <w:sz w:val="24"/>
                <w:highlight w:val="none"/>
              </w:rPr>
            </w:pPr>
            <w:r>
              <w:rPr>
                <w:rFonts w:ascii="Times New Roman" w:hAnsi="Times New Roman"/>
                <w:color w:val="000000"/>
                <w:sz w:val="24"/>
                <w:highlight w:val="none"/>
              </w:rPr>
              <w:t>其他</w:t>
            </w:r>
          </w:p>
        </w:tc>
        <w:tc>
          <w:tcPr>
            <w:tcW w:w="6785" w:type="dxa"/>
            <w:shd w:val="clear" w:color="auto" w:fill="auto"/>
            <w:vAlign w:val="center"/>
          </w:tcPr>
          <w:p w14:paraId="1A711469">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sz w:val="24"/>
                <w:highlight w:val="none"/>
              </w:rPr>
            </w:pPr>
            <w:r>
              <w:rPr>
                <w:sz w:val="24"/>
                <w:highlight w:val="none"/>
              </w:rPr>
              <w:t>3.1本项目采购活动</w:t>
            </w:r>
            <w:r>
              <w:rPr>
                <w:rFonts w:hint="eastAsia"/>
                <w:sz w:val="24"/>
                <w:highlight w:val="none"/>
              </w:rPr>
              <w:t>实行全流程</w:t>
            </w:r>
            <w:r>
              <w:rPr>
                <w:sz w:val="24"/>
                <w:highlight w:val="none"/>
              </w:rPr>
              <w:t>电子</w:t>
            </w:r>
            <w:r>
              <w:rPr>
                <w:rFonts w:hint="eastAsia"/>
                <w:sz w:val="24"/>
                <w:highlight w:val="none"/>
              </w:rPr>
              <w:t>化。评标委员会</w:t>
            </w:r>
            <w:r>
              <w:rPr>
                <w:sz w:val="24"/>
                <w:highlight w:val="none"/>
              </w:rPr>
              <w:t>以经</w:t>
            </w:r>
            <w:r>
              <w:rPr>
                <w:rFonts w:hint="eastAsia"/>
                <w:sz w:val="24"/>
                <w:highlight w:val="none"/>
              </w:rPr>
              <w:t>投标人</w:t>
            </w:r>
            <w:r>
              <w:rPr>
                <w:sz w:val="24"/>
                <w:highlight w:val="none"/>
              </w:rPr>
              <w:t>CA加密的电子文件为评审依据（特殊情况下，启用备份文件的除外），</w:t>
            </w:r>
            <w:r>
              <w:rPr>
                <w:rFonts w:hint="eastAsia"/>
                <w:sz w:val="24"/>
                <w:highlight w:val="none"/>
              </w:rPr>
              <w:t>投标人</w:t>
            </w:r>
            <w:r>
              <w:rPr>
                <w:sz w:val="24"/>
                <w:highlight w:val="none"/>
              </w:rPr>
              <w:t>对所提供材料的真实性和一致性负责。</w:t>
            </w:r>
          </w:p>
          <w:p w14:paraId="0E5D874A">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sz w:val="24"/>
                <w:highlight w:val="none"/>
              </w:rPr>
            </w:pPr>
            <w:r>
              <w:rPr>
                <w:sz w:val="24"/>
                <w:highlight w:val="none"/>
              </w:rPr>
              <w:t>3.2项目</w:t>
            </w:r>
            <w:r>
              <w:rPr>
                <w:rFonts w:hint="eastAsia"/>
                <w:sz w:val="24"/>
                <w:highlight w:val="none"/>
              </w:rPr>
              <w:t>中标</w:t>
            </w:r>
            <w:r>
              <w:rPr>
                <w:sz w:val="24"/>
                <w:highlight w:val="none"/>
              </w:rPr>
              <w:t>后，代理机构使用CA签章直接以电子文档形式在线向</w:t>
            </w:r>
            <w:r>
              <w:rPr>
                <w:rFonts w:hint="eastAsia"/>
                <w:sz w:val="24"/>
                <w:highlight w:val="none"/>
              </w:rPr>
              <w:t>中标人</w:t>
            </w:r>
            <w:r>
              <w:rPr>
                <w:sz w:val="24"/>
                <w:highlight w:val="none"/>
              </w:rPr>
              <w:t>发送</w:t>
            </w:r>
            <w:r>
              <w:rPr>
                <w:rFonts w:hint="eastAsia"/>
                <w:sz w:val="24"/>
                <w:highlight w:val="none"/>
              </w:rPr>
              <w:t>中标</w:t>
            </w:r>
            <w:r>
              <w:rPr>
                <w:sz w:val="24"/>
                <w:highlight w:val="none"/>
              </w:rPr>
              <w:t>通知书，不再发送纸质</w:t>
            </w:r>
            <w:r>
              <w:rPr>
                <w:rFonts w:hint="eastAsia"/>
                <w:sz w:val="24"/>
                <w:highlight w:val="none"/>
              </w:rPr>
              <w:t>中标</w:t>
            </w:r>
            <w:r>
              <w:rPr>
                <w:sz w:val="24"/>
                <w:highlight w:val="none"/>
              </w:rPr>
              <w:t>通知书。</w:t>
            </w:r>
          </w:p>
        </w:tc>
      </w:tr>
    </w:tbl>
    <w:p w14:paraId="0BD88831">
      <w:pPr>
        <w:keepNext w:val="0"/>
        <w:keepLines w:val="0"/>
        <w:pageBreakBefore w:val="0"/>
        <w:widowControl w:val="0"/>
        <w:kinsoku/>
        <w:wordWrap/>
        <w:overflowPunct/>
        <w:topLinePunct/>
        <w:autoSpaceDE/>
        <w:autoSpaceDN/>
        <w:bidi w:val="0"/>
        <w:adjustRightInd w:val="0"/>
        <w:snapToGrid w:val="0"/>
        <w:spacing w:line="360" w:lineRule="auto"/>
        <w:ind w:firstLine="480"/>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注：本表内容与投标人须知内容不一致的，以本表内容为准。</w:t>
      </w:r>
    </w:p>
    <w:p w14:paraId="7C618667">
      <w:pPr>
        <w:keepNext w:val="0"/>
        <w:keepLines w:val="0"/>
        <w:pageBreakBefore w:val="0"/>
        <w:widowControl w:val="0"/>
        <w:kinsoku/>
        <w:wordWrap/>
        <w:overflowPunct/>
        <w:topLinePunct/>
        <w:autoSpaceDE/>
        <w:autoSpaceDN/>
        <w:bidi w:val="0"/>
        <w:ind w:firstLine="643"/>
        <w:jc w:val="left"/>
        <w:textAlignment w:val="auto"/>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br w:type="page"/>
      </w:r>
    </w:p>
    <w:p w14:paraId="28E7834F">
      <w:pPr>
        <w:keepNext w:val="0"/>
        <w:keepLines w:val="0"/>
        <w:pageBreakBefore w:val="0"/>
        <w:widowControl w:val="0"/>
        <w:tabs>
          <w:tab w:val="left" w:pos="2070"/>
          <w:tab w:val="center" w:pos="4365"/>
        </w:tabs>
        <w:kinsoku/>
        <w:overflowPunct/>
        <w:bidi w:val="0"/>
        <w:adjustRightInd w:val="0"/>
        <w:snapToGrid w:val="0"/>
        <w:spacing w:line="360" w:lineRule="auto"/>
        <w:ind w:firstLine="643"/>
        <w:jc w:val="center"/>
        <w:outlineLvl w:val="0"/>
        <w:rPr>
          <w:rFonts w:ascii="Times New Roman" w:hAnsi="Times New Roman"/>
          <w:b/>
          <w:color w:val="000000" w:themeColor="text1"/>
          <w:kern w:val="0"/>
          <w:sz w:val="32"/>
          <w:szCs w:val="32"/>
          <w:highlight w:val="none"/>
          <w14:textFill>
            <w14:solidFill>
              <w14:schemeClr w14:val="tx1"/>
            </w14:solidFill>
          </w14:textFill>
        </w:rPr>
      </w:pPr>
      <w:bookmarkStart w:id="15" w:name="_Toc180347451"/>
      <w:r>
        <w:rPr>
          <w:rFonts w:ascii="Times New Roman" w:hAnsi="Times New Roman"/>
          <w:b/>
          <w:color w:val="000000" w:themeColor="text1"/>
          <w:kern w:val="0"/>
          <w:sz w:val="32"/>
          <w:szCs w:val="32"/>
          <w:highlight w:val="none"/>
          <w14:textFill>
            <w14:solidFill>
              <w14:schemeClr w14:val="tx1"/>
            </w14:solidFill>
          </w14:textFill>
        </w:rPr>
        <w:t>第三部分  投标人须知</w:t>
      </w:r>
      <w:bookmarkEnd w:id="15"/>
    </w:p>
    <w:p w14:paraId="3D77092A">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outlineLvl w:val="1"/>
        <w:rPr>
          <w:rFonts w:ascii="宋体" w:hAnsi="宋体" w:cs="宋体"/>
          <w:b/>
          <w:color w:val="000000" w:themeColor="text1"/>
          <w:kern w:val="0"/>
          <w:sz w:val="24"/>
          <w:highlight w:val="none"/>
          <w14:textFill>
            <w14:solidFill>
              <w14:schemeClr w14:val="tx1"/>
            </w14:solidFill>
          </w14:textFill>
        </w:rPr>
      </w:pPr>
      <w:bookmarkStart w:id="16" w:name="_Toc9096"/>
      <w:bookmarkStart w:id="17" w:name="_Toc180347452"/>
      <w:r>
        <w:rPr>
          <w:rFonts w:hint="eastAsia" w:ascii="宋体" w:hAnsi="宋体" w:cs="宋体"/>
          <w:b/>
          <w:color w:val="000000" w:themeColor="text1"/>
          <w:kern w:val="0"/>
          <w:sz w:val="24"/>
          <w:highlight w:val="none"/>
          <w14:textFill>
            <w14:solidFill>
              <w14:schemeClr w14:val="tx1"/>
            </w14:solidFill>
          </w14:textFill>
        </w:rPr>
        <w:t>一、总则</w:t>
      </w:r>
      <w:bookmarkEnd w:id="16"/>
      <w:bookmarkEnd w:id="17"/>
    </w:p>
    <w:p w14:paraId="195D9407">
      <w:pPr>
        <w:keepNext w:val="0"/>
        <w:keepLines w:val="0"/>
        <w:pageBreakBefore w:val="0"/>
        <w:widowControl w:val="0"/>
        <w:tabs>
          <w:tab w:val="left" w:pos="737"/>
        </w:tabs>
        <w:kinsoku/>
        <w:wordWrap w:val="0"/>
        <w:overflowPunct/>
        <w:topLinePunct/>
        <w:autoSpaceDE/>
        <w:autoSpaceDN/>
        <w:bidi w:val="0"/>
        <w:snapToGrid w:val="0"/>
        <w:spacing w:line="360" w:lineRule="auto"/>
        <w:ind w:firstLine="482" w:firstLineChars="200"/>
        <w:textAlignment w:val="auto"/>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 适用范围</w:t>
      </w:r>
    </w:p>
    <w:p w14:paraId="1C0C95BA">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本招标文件适用于本次招标活动的全过程。</w:t>
      </w:r>
    </w:p>
    <w:p w14:paraId="63006BCE">
      <w:pPr>
        <w:keepNext w:val="0"/>
        <w:keepLines w:val="0"/>
        <w:pageBreakBefore w:val="0"/>
        <w:widowControl w:val="0"/>
        <w:tabs>
          <w:tab w:val="left" w:pos="0"/>
        </w:tabs>
        <w:kinsoku/>
        <w:wordWrap w:val="0"/>
        <w:overflowPunct/>
        <w:topLinePunct/>
        <w:autoSpaceDE/>
        <w:autoSpaceDN/>
        <w:bidi w:val="0"/>
        <w:snapToGrid w:val="0"/>
        <w:spacing w:line="360" w:lineRule="auto"/>
        <w:ind w:firstLine="482" w:firstLineChars="200"/>
        <w:textAlignment w:val="auto"/>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2. 定义</w:t>
      </w:r>
    </w:p>
    <w:p w14:paraId="09DD7453">
      <w:pPr>
        <w:keepNext w:val="0"/>
        <w:keepLines w:val="0"/>
        <w:pageBreakBefore w:val="0"/>
        <w:widowControl w:val="0"/>
        <w:tabs>
          <w:tab w:val="left" w:pos="567"/>
        </w:tabs>
        <w:kinsoku/>
        <w:wordWrap w:val="0"/>
        <w:overflowPunct/>
        <w:topLinePunct/>
        <w:autoSpaceDE/>
        <w:autoSpaceDN/>
        <w:bidi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2.1采购人：指拟采购货物</w:t>
      </w:r>
      <w:r>
        <w:rPr>
          <w:rFonts w:hint="eastAsia" w:ascii="宋体" w:hAnsi="宋体" w:cs="宋体"/>
          <w:color w:val="000000" w:themeColor="text1"/>
          <w:kern w:val="0"/>
          <w:sz w:val="24"/>
          <w:highlight w:val="none"/>
          <w:lang w:val="en-US" w:eastAsia="zh-CN"/>
          <w14:textFill>
            <w14:solidFill>
              <w14:schemeClr w14:val="tx1"/>
            </w14:solidFill>
          </w14:textFill>
        </w:rPr>
        <w:t>/服务</w:t>
      </w:r>
      <w:r>
        <w:rPr>
          <w:rFonts w:hint="eastAsia" w:ascii="宋体" w:hAnsi="宋体" w:cs="宋体"/>
          <w:color w:val="000000" w:themeColor="text1"/>
          <w:kern w:val="0"/>
          <w:sz w:val="24"/>
          <w:highlight w:val="none"/>
          <w14:textFill>
            <w14:solidFill>
              <w14:schemeClr w14:val="tx1"/>
            </w14:solidFill>
          </w14:textFill>
        </w:rPr>
        <w:t>的使用单位。即：</w:t>
      </w:r>
      <w:r>
        <w:rPr>
          <w:rFonts w:hint="eastAsia" w:ascii="宋体" w:hAnsi="宋体" w:cs="宋体"/>
          <w:color w:val="000000" w:themeColor="text1"/>
          <w:kern w:val="0"/>
          <w:sz w:val="24"/>
          <w:highlight w:val="none"/>
          <w:lang w:eastAsia="zh-CN"/>
          <w14:textFill>
            <w14:solidFill>
              <w14:schemeClr w14:val="tx1"/>
            </w14:solidFill>
          </w14:textFill>
        </w:rPr>
        <w:t>太原市医疗保障局</w:t>
      </w:r>
      <w:r>
        <w:rPr>
          <w:rFonts w:hint="eastAsia" w:ascii="宋体" w:hAnsi="宋体" w:cs="宋体"/>
          <w:color w:val="000000" w:themeColor="text1"/>
          <w:kern w:val="0"/>
          <w:sz w:val="24"/>
          <w:highlight w:val="none"/>
          <w14:textFill>
            <w14:solidFill>
              <w14:schemeClr w14:val="tx1"/>
            </w14:solidFill>
          </w14:textFill>
        </w:rPr>
        <w:t>。</w:t>
      </w:r>
    </w:p>
    <w:p w14:paraId="2EAC01F3">
      <w:pPr>
        <w:keepNext w:val="0"/>
        <w:keepLines w:val="0"/>
        <w:pageBreakBefore w:val="0"/>
        <w:widowControl w:val="0"/>
        <w:tabs>
          <w:tab w:val="left" w:pos="567"/>
        </w:tabs>
        <w:kinsoku/>
        <w:wordWrap w:val="0"/>
        <w:overflowPunct/>
        <w:topLinePunct/>
        <w:autoSpaceDE/>
        <w:autoSpaceDN/>
        <w:bidi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hint="eastAsia" w:ascii="宋体" w:hAnsi="宋体" w:cs="宋体"/>
          <w:color w:val="000000" w:themeColor="text1"/>
          <w:kern w:val="0"/>
          <w:sz w:val="24"/>
          <w:highlight w:val="none"/>
          <w14:textFill>
            <w14:solidFill>
              <w14:schemeClr w14:val="tx1"/>
            </w14:solidFill>
          </w14:textFill>
        </w:rPr>
        <w:t>采购代理机构：指在采购人委托范围内依法从事政府采购业务，组织本项目采购活动的社会中介机构，即“</w:t>
      </w:r>
      <w:r>
        <w:rPr>
          <w:rFonts w:hint="eastAsia" w:ascii="宋体" w:hAnsi="宋体" w:cs="宋体"/>
          <w:color w:val="000000" w:themeColor="text1"/>
          <w:kern w:val="0"/>
          <w:sz w:val="24"/>
          <w:highlight w:val="none"/>
          <w:lang w:val="en-US" w:eastAsia="zh-CN"/>
          <w14:textFill>
            <w14:solidFill>
              <w14:schemeClr w14:val="tx1"/>
            </w14:solidFill>
          </w14:textFill>
        </w:rPr>
        <w:t>太原市宜达科技服务有限公司</w:t>
      </w:r>
      <w:r>
        <w:rPr>
          <w:rFonts w:hint="eastAsia" w:ascii="宋体" w:hAnsi="宋体" w:cs="宋体"/>
          <w:color w:val="000000" w:themeColor="text1"/>
          <w:kern w:val="0"/>
          <w:sz w:val="24"/>
          <w:highlight w:val="none"/>
          <w14:textFill>
            <w14:solidFill>
              <w14:schemeClr w14:val="tx1"/>
            </w14:solidFill>
          </w14:textFill>
        </w:rPr>
        <w:t>”。</w:t>
      </w:r>
    </w:p>
    <w:p w14:paraId="03A8139E">
      <w:pPr>
        <w:keepNext w:val="0"/>
        <w:keepLines w:val="0"/>
        <w:pageBreakBefore w:val="0"/>
        <w:widowControl w:val="0"/>
        <w:tabs>
          <w:tab w:val="left" w:pos="567"/>
        </w:tabs>
        <w:kinsoku/>
        <w:wordWrap w:val="0"/>
        <w:overflowPunct/>
        <w:topLinePunct/>
        <w:autoSpaceDE/>
        <w:autoSpaceDN/>
        <w:bidi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2.3潜在投标人：指具备本项目资格条件，有能力向采购人提供符合本项目技术和服务要求的</w:t>
      </w:r>
      <w:r>
        <w:rPr>
          <w:rFonts w:hint="eastAsia" w:ascii="宋体" w:hAnsi="宋体" w:cs="宋体"/>
          <w:color w:val="000000" w:themeColor="text1"/>
          <w:kern w:val="0"/>
          <w:sz w:val="24"/>
          <w:highlight w:val="none"/>
          <w:lang w:eastAsia="zh-CN"/>
          <w14:textFill>
            <w14:solidFill>
              <w14:schemeClr w14:val="tx1"/>
            </w14:solidFill>
          </w14:textFill>
        </w:rPr>
        <w:t>服务</w:t>
      </w:r>
      <w:r>
        <w:rPr>
          <w:rFonts w:hint="eastAsia" w:ascii="宋体" w:hAnsi="宋体" w:cs="宋体"/>
          <w:color w:val="000000" w:themeColor="text1"/>
          <w:kern w:val="0"/>
          <w:sz w:val="24"/>
          <w:highlight w:val="none"/>
          <w14:textFill>
            <w14:solidFill>
              <w14:schemeClr w14:val="tx1"/>
            </w14:solidFill>
          </w14:textFill>
        </w:rPr>
        <w:t>的法人、其他组织或者自然人。</w:t>
      </w:r>
    </w:p>
    <w:p w14:paraId="2BC66175">
      <w:pPr>
        <w:keepNext w:val="0"/>
        <w:keepLines w:val="0"/>
        <w:pageBreakBefore w:val="0"/>
        <w:widowControl w:val="0"/>
        <w:tabs>
          <w:tab w:val="left" w:pos="567"/>
        </w:tabs>
        <w:kinsoku/>
        <w:wordWrap w:val="0"/>
        <w:overflowPunct/>
        <w:topLinePunct/>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2.4投标人：指在本项目规定时间内向采购代理机构提交投标文件且参加本次招标活动的潜在投标人。</w:t>
      </w:r>
    </w:p>
    <w:p w14:paraId="38D67224">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2.5货物：指</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按招标文件商务技术要求，向</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lang w:val="en-US" w:eastAsia="zh-CN"/>
        </w:rPr>
        <w:t>有偿</w:t>
      </w:r>
      <w:r>
        <w:rPr>
          <w:rFonts w:hint="eastAsia" w:ascii="宋体" w:hAnsi="宋体" w:eastAsia="宋体" w:cs="宋体"/>
          <w:kern w:val="0"/>
          <w:sz w:val="24"/>
          <w:szCs w:val="24"/>
          <w:highlight w:val="none"/>
        </w:rPr>
        <w:t>提供的各种物品及其他有关技术资料和材料。</w:t>
      </w:r>
    </w:p>
    <w:p w14:paraId="67E0258B">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2.6服务：指招标文件规定的投标人</w:t>
      </w:r>
      <w:r>
        <w:rPr>
          <w:rFonts w:hint="eastAsia" w:ascii="宋体" w:hAnsi="宋体" w:eastAsia="宋体" w:cs="宋体"/>
          <w:color w:val="auto"/>
          <w:kern w:val="0"/>
          <w:sz w:val="24"/>
          <w:szCs w:val="24"/>
          <w:highlight w:val="none"/>
        </w:rPr>
        <w:t>须向采购人提供的服务和应当履行的承诺和义务。</w:t>
      </w:r>
    </w:p>
    <w:p w14:paraId="100CAA47">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279154D4">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2.8投标文件：是指参加本项目投标活动的投标人按招标文件的条件、要求及规定编制的文件，是本项目招标投标活动的主要评审依据。投标文件应对招标文件提出的要求和条件作出实质性响应，投标人应对其提交的投标文件的真实性、合法性承担相应法律责任。</w:t>
      </w:r>
    </w:p>
    <w:p w14:paraId="7DF93634">
      <w:pPr>
        <w:keepNext w:val="0"/>
        <w:keepLines w:val="0"/>
        <w:pageBreakBefore w:val="0"/>
        <w:widowControl w:val="0"/>
        <w:kinsoku/>
        <w:wordWrap w:val="0"/>
        <w:overflowPunct/>
        <w:topLinePunct/>
        <w:autoSpaceDE/>
        <w:autoSpaceDN/>
        <w:bidi w:val="0"/>
        <w:snapToGrid w:val="0"/>
        <w:spacing w:line="360" w:lineRule="auto"/>
        <w:ind w:firstLine="482" w:firstLineChars="200"/>
        <w:textAlignment w:val="auto"/>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3.合格投标人的条件</w:t>
      </w:r>
    </w:p>
    <w:p w14:paraId="24B7FCCF">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满足《中华人民共和国政府采购法》第二十二条第一款投标人的资格条件、落实政府采购政策需满足的资格要求与本项目特定资格条件。参加本采购项目活动的投标人需按投标人须知前附表第5项要求提供相应的资格证明文件。</w:t>
      </w:r>
    </w:p>
    <w:p w14:paraId="0BD34C63">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3.2为本项目提供整体设计、规范编制或者项目管理、监理、检测等服务的投标人，不得再参加本项目的投标。</w:t>
      </w:r>
    </w:p>
    <w:p w14:paraId="16B44E22">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3.3是否允许代理商参加投标（</w:t>
      </w:r>
      <w:r>
        <w:rPr>
          <w:rFonts w:ascii="Times New Roman" w:hAnsi="Times New Roman"/>
          <w:kern w:val="0"/>
          <w:sz w:val="24"/>
          <w:highlight w:val="none"/>
        </w:rPr>
        <w:t>见投标人须知前附表第2项</w:t>
      </w:r>
      <w:r>
        <w:rPr>
          <w:rFonts w:hint="eastAsia" w:ascii="宋体" w:hAnsi="宋体" w:cs="宋体"/>
          <w:color w:val="000000" w:themeColor="text1"/>
          <w:kern w:val="0"/>
          <w:sz w:val="24"/>
          <w:highlight w:val="none"/>
          <w14:textFill>
            <w14:solidFill>
              <w14:schemeClr w14:val="tx1"/>
            </w14:solidFill>
          </w14:textFill>
        </w:rPr>
        <w:t>）。</w:t>
      </w:r>
    </w:p>
    <w:p w14:paraId="46ABE4C9">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3.4是否允许联合体投标（</w:t>
      </w:r>
      <w:r>
        <w:rPr>
          <w:rFonts w:ascii="Times New Roman" w:hAnsi="Times New Roman"/>
          <w:kern w:val="0"/>
          <w:sz w:val="24"/>
          <w:highlight w:val="none"/>
        </w:rPr>
        <w:t>见投标人须知前附表第</w:t>
      </w:r>
      <w:r>
        <w:rPr>
          <w:rFonts w:hint="eastAsia" w:ascii="Times New Roman" w:hAnsi="Times New Roman"/>
          <w:kern w:val="0"/>
          <w:sz w:val="24"/>
          <w:highlight w:val="none"/>
        </w:rPr>
        <w:t>3</w:t>
      </w:r>
      <w:r>
        <w:rPr>
          <w:rFonts w:ascii="Times New Roman" w:hAnsi="Times New Roman"/>
          <w:kern w:val="0"/>
          <w:sz w:val="24"/>
          <w:highlight w:val="none"/>
        </w:rPr>
        <w:t>项</w:t>
      </w:r>
      <w:r>
        <w:rPr>
          <w:rFonts w:hint="eastAsia" w:ascii="宋体" w:hAnsi="宋体" w:cs="宋体"/>
          <w:color w:val="000000" w:themeColor="text1"/>
          <w:kern w:val="0"/>
          <w:sz w:val="24"/>
          <w:highlight w:val="none"/>
          <w14:textFill>
            <w14:solidFill>
              <w14:schemeClr w14:val="tx1"/>
            </w14:solidFill>
          </w14:textFill>
        </w:rPr>
        <w:t>）。</w:t>
      </w:r>
    </w:p>
    <w:p w14:paraId="1E1FBB6C">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若本项目（包）接受联合体参加，联合体各方需遵循以下原则，否则评审时将被拒绝。</w:t>
      </w:r>
    </w:p>
    <w:p w14:paraId="530620D4">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（1）两个以上的法人或者其他组织或自然人可以组成一个联合体，以一个投标人的身份共同参加投标。</w:t>
      </w:r>
    </w:p>
    <w:p w14:paraId="28BA6024">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联合体各方均应当符合《中华人民共和国政府采购法》第二十二条第一款规定的条件与本项目（包）落实政府采购政策需满足的资格要求。对本采购项目（包）根据特殊要求规定的投标人特定资格条件，联合体各方中至少应当有一方符合本特定资格条件。</w:t>
      </w:r>
    </w:p>
    <w:p w14:paraId="4C3C9BBB">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（3）联合体各方均应当提供投标人须知前附表第5项中1-7项要求的证明文件。</w:t>
      </w:r>
    </w:p>
    <w:p w14:paraId="06095197">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ascii="Times New Roman" w:hAnsi="Times New Roman"/>
          <w:kern w:val="0"/>
          <w:sz w:val="24"/>
          <w:highlight w:val="none"/>
        </w:rPr>
      </w:pPr>
      <w:r>
        <w:rPr>
          <w:rFonts w:hint="eastAsia" w:ascii="Times New Roman" w:hAnsi="Times New Roman"/>
          <w:kern w:val="0"/>
          <w:sz w:val="24"/>
          <w:highlight w:val="none"/>
        </w:rPr>
        <w:t>（4）联合体各方应当签订《联合投标协议书》（见本招标文件第七部分《联合投标协议书》格式）并在投标文件内提交，明确约定联合体主体及联合体各方承担的工作和相应的责任。联合体各方签订《联合投标协议书》后，不得再以自己名义单独在同一项目（包）中参加投标活动，也不得组成新的联合体参加同一项目（包）的投标。</w:t>
      </w:r>
    </w:p>
    <w:p w14:paraId="3D168C1E">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ascii="Times New Roman" w:hAnsi="Times New Roman"/>
          <w:kern w:val="0"/>
          <w:sz w:val="24"/>
          <w:highlight w:val="none"/>
        </w:rPr>
      </w:pPr>
      <w:r>
        <w:rPr>
          <w:rFonts w:ascii="Times New Roman" w:hAnsi="Times New Roman"/>
          <w:kern w:val="0"/>
          <w:sz w:val="24"/>
          <w:highlight w:val="none"/>
        </w:rPr>
        <w:t>（5）下载招标文件时，应以联合体协议中确定的主体方名义下载。</w:t>
      </w:r>
    </w:p>
    <w:p w14:paraId="46D19AC9">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ascii="Times New Roman" w:hAnsi="Times New Roman"/>
          <w:kern w:val="0"/>
          <w:sz w:val="24"/>
          <w:highlight w:val="none"/>
        </w:rPr>
      </w:pPr>
      <w:r>
        <w:rPr>
          <w:rFonts w:ascii="Times New Roman" w:hAnsi="Times New Roman"/>
          <w:kern w:val="0"/>
          <w:sz w:val="24"/>
          <w:highlight w:val="none"/>
        </w:rPr>
        <w:t>（6）联合体参加投标的，应以主体方名义提交投标保证金（如有），对联合体各方均具有约束力。</w:t>
      </w:r>
    </w:p>
    <w:p w14:paraId="7B63D20F">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ascii="Times New Roman" w:hAnsi="Times New Roman"/>
          <w:kern w:val="0"/>
          <w:sz w:val="24"/>
          <w:highlight w:val="none"/>
        </w:rPr>
      </w:pPr>
      <w:r>
        <w:rPr>
          <w:rFonts w:ascii="Times New Roman" w:hAnsi="Times New Roman"/>
          <w:kern w:val="0"/>
          <w:sz w:val="24"/>
          <w:highlight w:val="none"/>
        </w:rPr>
        <w:t>（7）由同一专业的单位组成的联合体，按照同一项资质等级较低的单位确定资质等级。业绩等有关打分内容根据《</w:t>
      </w:r>
      <w:r>
        <w:rPr>
          <w:rFonts w:hint="eastAsia" w:ascii="Times New Roman" w:hAnsi="Times New Roman"/>
          <w:kern w:val="0"/>
          <w:sz w:val="24"/>
          <w:highlight w:val="none"/>
        </w:rPr>
        <w:t>联合投标协议书</w:t>
      </w:r>
      <w:r>
        <w:rPr>
          <w:rFonts w:ascii="Times New Roman" w:hAnsi="Times New Roman"/>
          <w:kern w:val="0"/>
          <w:sz w:val="24"/>
          <w:highlight w:val="none"/>
        </w:rPr>
        <w:t>》约定的各方承担的工作和相应责任，确定一方打分，不累加打分；评审标准无明确或难以明确对应哪一方的打分内容按主体方打分。</w:t>
      </w:r>
    </w:p>
    <w:p w14:paraId="632E5F7B">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kern w:val="0"/>
          <w:sz w:val="24"/>
          <w:highlight w:val="none"/>
        </w:rPr>
      </w:pPr>
      <w:r>
        <w:rPr>
          <w:rFonts w:hint="eastAsia" w:ascii="Times New Roman" w:hAnsi="Times New Roman"/>
          <w:kern w:val="0"/>
          <w:sz w:val="24"/>
          <w:highlight w:val="none"/>
        </w:rPr>
        <w:t>（8）如本项目不是专门面向中小企业的采购项目，联合体中任意一方为中小企业的，该方应提供《中小企业声明函》。</w:t>
      </w:r>
    </w:p>
    <w:p w14:paraId="76D47264">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Times New Roman" w:hAnsi="Times New Roman"/>
          <w:kern w:val="0"/>
          <w:sz w:val="24"/>
          <w:highlight w:val="none"/>
        </w:rPr>
      </w:pPr>
      <w:r>
        <w:rPr>
          <w:rFonts w:ascii="Times New Roman" w:hAnsi="Times New Roman"/>
          <w:kern w:val="0"/>
          <w:sz w:val="24"/>
          <w:highlight w:val="none"/>
        </w:rPr>
        <w:t>（9）联合体各方应当共同与采购人签订采购合同，就采购合同约定的事项对采购人承担连带责任。</w:t>
      </w:r>
    </w:p>
    <w:p w14:paraId="7523D88E">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Times New Roman" w:hAnsi="Times New Roman"/>
          <w:kern w:val="0"/>
          <w:sz w:val="24"/>
          <w:highlight w:val="none"/>
        </w:rPr>
      </w:pPr>
      <w:r>
        <w:rPr>
          <w:rFonts w:ascii="Times New Roman" w:hAnsi="Times New Roman"/>
          <w:kern w:val="0"/>
          <w:sz w:val="24"/>
          <w:highlight w:val="none"/>
        </w:rPr>
        <w:t>3.5关于关联企业</w:t>
      </w:r>
    </w:p>
    <w:p w14:paraId="0BBFD4E1">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Times New Roman" w:hAnsi="Times New Roman"/>
          <w:kern w:val="0"/>
          <w:sz w:val="24"/>
          <w:highlight w:val="none"/>
        </w:rPr>
      </w:pPr>
      <w:r>
        <w:rPr>
          <w:rFonts w:ascii="Times New Roman" w:hAnsi="Times New Roman"/>
          <w:kern w:val="0"/>
          <w:sz w:val="24"/>
          <w:highlight w:val="none"/>
        </w:rPr>
        <w:t>除联合体外，法定代表人或单位负责人为同一个人或者存在直接控股、管理关系的不同投标人，不得同时参加同一项目或同一子项目的投标。如同时参加，则</w:t>
      </w:r>
      <w:r>
        <w:rPr>
          <w:rFonts w:hint="eastAsia" w:ascii="Times New Roman" w:hAnsi="Times New Roman"/>
          <w:kern w:val="0"/>
          <w:sz w:val="24"/>
          <w:highlight w:val="none"/>
        </w:rPr>
        <w:t>评</w:t>
      </w:r>
      <w:r>
        <w:rPr>
          <w:rFonts w:ascii="Times New Roman" w:hAnsi="Times New Roman"/>
          <w:kern w:val="0"/>
          <w:sz w:val="24"/>
          <w:highlight w:val="none"/>
        </w:rPr>
        <w:t>审时将同时被拒绝。</w:t>
      </w:r>
    </w:p>
    <w:p w14:paraId="05699D44">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Times New Roman" w:hAnsi="Times New Roman"/>
          <w:kern w:val="0"/>
          <w:sz w:val="24"/>
          <w:highlight w:val="none"/>
        </w:rPr>
      </w:pPr>
      <w:r>
        <w:rPr>
          <w:rFonts w:ascii="Times New Roman" w:hAnsi="Times New Roman"/>
          <w:kern w:val="0"/>
          <w:sz w:val="24"/>
          <w:highlight w:val="none"/>
        </w:rPr>
        <w:t>3.6关于中小微企业参与投标</w:t>
      </w:r>
    </w:p>
    <w:p w14:paraId="52876AA1">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kern w:val="0"/>
          <w:sz w:val="24"/>
          <w:highlight w:val="none"/>
        </w:rPr>
      </w:pPr>
      <w:r>
        <w:rPr>
          <w:rFonts w:hint="eastAsia" w:ascii="Times New Roman" w:hAnsi="Times New Roman"/>
          <w:kern w:val="0"/>
          <w:sz w:val="24"/>
          <w:highlight w:val="none"/>
        </w:rPr>
        <w:t>中小企业：是指符合《政府采购促进中小企业发展管理办法》（财库[2020]46号）规定的企业。参与投标人的投标人应当出具投报产品的制造商为中小企业的《中小企业声明函》。</w:t>
      </w:r>
    </w:p>
    <w:p w14:paraId="4D09FD09">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kern w:val="0"/>
          <w:sz w:val="24"/>
          <w:highlight w:val="none"/>
        </w:rPr>
      </w:pPr>
      <w:r>
        <w:rPr>
          <w:rFonts w:hint="eastAsia" w:ascii="Times New Roman" w:hAnsi="Times New Roman"/>
          <w:kern w:val="0"/>
          <w:sz w:val="24"/>
          <w:highlight w:val="none"/>
        </w:rPr>
        <w:t>监狱企业：视同小型、微型企业，监狱企业参加时，提供由省级以上监狱管理局、戒毒管理局（含新疆生产建设兵团）出具的属于监狱企业的证明文件，不再提供《中小企业声明函》。</w:t>
      </w:r>
    </w:p>
    <w:p w14:paraId="7FD1CEC1">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kern w:val="0"/>
          <w:sz w:val="24"/>
          <w:highlight w:val="none"/>
        </w:rPr>
      </w:pPr>
      <w:r>
        <w:rPr>
          <w:rFonts w:hint="eastAsia" w:ascii="Times New Roman" w:hAnsi="Times New Roman"/>
          <w:kern w:val="0"/>
          <w:sz w:val="24"/>
          <w:highlight w:val="none"/>
        </w:rPr>
        <w:t>残疾人福利性单位：视同为小型、微型企业。残疾人单位参加本项目时，应当提供本通知规定的《残疾人福利性单位声明函》，不再提供《中小企业声明函》。</w:t>
      </w:r>
    </w:p>
    <w:p w14:paraId="5CC3ACF8">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Times New Roman" w:hAnsi="Times New Roman"/>
          <w:kern w:val="0"/>
          <w:sz w:val="24"/>
          <w:highlight w:val="none"/>
        </w:rPr>
      </w:pPr>
      <w:r>
        <w:rPr>
          <w:rFonts w:ascii="Times New Roman" w:hAnsi="Times New Roman"/>
          <w:kern w:val="0"/>
          <w:sz w:val="24"/>
          <w:highlight w:val="none"/>
        </w:rPr>
        <w:t>3.7关于分公司投标</w:t>
      </w:r>
    </w:p>
    <w:p w14:paraId="2EAAA47F">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bCs/>
          <w:kern w:val="0"/>
          <w:sz w:val="24"/>
          <w:highlight w:val="none"/>
        </w:rPr>
      </w:pPr>
      <w:r>
        <w:rPr>
          <w:rFonts w:hint="eastAsia" w:ascii="Times New Roman" w:hAnsi="Times New Roman"/>
          <w:bCs/>
          <w:kern w:val="0"/>
          <w:sz w:val="24"/>
          <w:highlight w:val="none"/>
        </w:rPr>
        <w:t>分公司参与本项目投标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CBA2CFA">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Times New Roman" w:hAnsi="Times New Roman"/>
          <w:bCs/>
          <w:kern w:val="0"/>
          <w:sz w:val="24"/>
          <w:highlight w:val="none"/>
        </w:rPr>
      </w:pPr>
      <w:r>
        <w:rPr>
          <w:rFonts w:hint="eastAsia" w:ascii="Times New Roman" w:hAnsi="Times New Roman"/>
          <w:bCs/>
          <w:kern w:val="0"/>
          <w:sz w:val="24"/>
          <w:highlight w:val="none"/>
        </w:rPr>
        <w:t>投标人属于石油石化、电力、通信、银行、金融、保险、法律事务、咨询服务等行业特殊情况的，取得营业执照的分支机构可以以分公司名义参与本项目投标，分支机构应提供总公司出具的参与投标授权委托书或承诺函，但总公司和分支机构不能参加同一合同项下的采购活动。</w:t>
      </w:r>
    </w:p>
    <w:p w14:paraId="777794B3">
      <w:pPr>
        <w:keepNext w:val="0"/>
        <w:keepLines w:val="0"/>
        <w:pageBreakBefore w:val="0"/>
        <w:widowControl w:val="0"/>
        <w:kinsoku/>
        <w:overflowPunct/>
        <w:autoSpaceDE/>
        <w:autoSpaceDN/>
        <w:bidi w:val="0"/>
        <w:adjustRightInd/>
        <w:snapToGrid w:val="0"/>
        <w:spacing w:line="360" w:lineRule="auto"/>
        <w:ind w:firstLine="482" w:firstLineChars="200"/>
        <w:textAlignment w:val="auto"/>
        <w:rPr>
          <w:rFonts w:hint="eastAsia" w:ascii="宋体" w:hAnsi="宋体" w:eastAsia="宋体" w:cs="宋体"/>
          <w:b/>
          <w:bCs/>
          <w:color w:val="000000" w:themeColor="text1"/>
          <w:kern w:val="0"/>
          <w:sz w:val="24"/>
          <w:highlight w:val="none"/>
          <w:lang w:eastAsia="zh-CN"/>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4.合格的</w:t>
      </w:r>
      <w:r>
        <w:rPr>
          <w:rFonts w:hint="eastAsia" w:ascii="宋体" w:hAnsi="宋体" w:cs="宋体"/>
          <w:b/>
          <w:bCs/>
          <w:color w:val="000000" w:themeColor="text1"/>
          <w:kern w:val="0"/>
          <w:sz w:val="24"/>
          <w:highlight w:val="none"/>
          <w:lang w:val="en-US" w:eastAsia="zh-CN"/>
          <w14:textFill>
            <w14:solidFill>
              <w14:schemeClr w14:val="tx1"/>
            </w14:solidFill>
          </w14:textFill>
        </w:rPr>
        <w:t>服务</w:t>
      </w:r>
    </w:p>
    <w:p w14:paraId="4AD8BBDF">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4.1投标人所提供的</w:t>
      </w:r>
      <w:r>
        <w:rPr>
          <w:rFonts w:hint="eastAsia" w:ascii="宋体" w:hAnsi="宋体" w:cs="宋体"/>
          <w:color w:val="000000" w:themeColor="text1"/>
          <w:kern w:val="0"/>
          <w:sz w:val="24"/>
          <w:highlight w:val="none"/>
          <w:lang w:val="en-US" w:eastAsia="zh-CN"/>
          <w14:textFill>
            <w14:solidFill>
              <w14:schemeClr w14:val="tx1"/>
            </w14:solidFill>
          </w14:textFill>
        </w:rPr>
        <w:t>服务</w:t>
      </w:r>
      <w:r>
        <w:rPr>
          <w:rFonts w:hint="eastAsia" w:ascii="宋体" w:hAnsi="宋体" w:cs="宋体"/>
          <w:color w:val="000000" w:themeColor="text1"/>
          <w:kern w:val="0"/>
          <w:sz w:val="24"/>
          <w:highlight w:val="none"/>
          <w14:textFill>
            <w14:solidFill>
              <w14:schemeClr w14:val="tx1"/>
            </w14:solidFill>
          </w14:textFill>
        </w:rPr>
        <w:t>应当是没有侵犯任何第三方的知识产权、技术秘密等合法权利的</w:t>
      </w:r>
      <w:r>
        <w:rPr>
          <w:rFonts w:hint="eastAsia" w:ascii="宋体" w:hAnsi="宋体" w:cs="宋体"/>
          <w:color w:val="000000" w:themeColor="text1"/>
          <w:kern w:val="0"/>
          <w:sz w:val="24"/>
          <w:highlight w:val="none"/>
          <w:lang w:val="en-US" w:eastAsia="zh-CN"/>
          <w14:textFill>
            <w14:solidFill>
              <w14:schemeClr w14:val="tx1"/>
            </w14:solidFill>
          </w14:textFill>
        </w:rPr>
        <w:t>服务</w:t>
      </w:r>
      <w:r>
        <w:rPr>
          <w:rFonts w:hint="eastAsia" w:ascii="宋体" w:hAnsi="宋体" w:cs="宋体"/>
          <w:color w:val="000000" w:themeColor="text1"/>
          <w:kern w:val="0"/>
          <w:sz w:val="24"/>
          <w:highlight w:val="none"/>
          <w14:textFill>
            <w14:solidFill>
              <w14:schemeClr w14:val="tx1"/>
            </w14:solidFill>
          </w14:textFill>
        </w:rPr>
        <w:t>。</w:t>
      </w:r>
    </w:p>
    <w:p w14:paraId="60264F57">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4.2系统软件、通用软件必须是具有在中国境内的合法使用权或版权的正版软件。</w:t>
      </w:r>
    </w:p>
    <w:p w14:paraId="6073F063">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4.3投标人提供的</w:t>
      </w:r>
      <w:r>
        <w:rPr>
          <w:rFonts w:hint="eastAsia" w:ascii="宋体" w:hAnsi="宋体" w:cs="宋体"/>
          <w:color w:val="000000" w:themeColor="text1"/>
          <w:kern w:val="0"/>
          <w:sz w:val="24"/>
          <w:highlight w:val="none"/>
          <w:lang w:val="en-US" w:eastAsia="zh-CN"/>
          <w14:textFill>
            <w14:solidFill>
              <w14:schemeClr w14:val="tx1"/>
            </w14:solidFill>
          </w14:textFill>
        </w:rPr>
        <w:t>服务</w:t>
      </w:r>
      <w:r>
        <w:rPr>
          <w:rFonts w:hint="eastAsia" w:ascii="宋体" w:hAnsi="宋体" w:cs="宋体"/>
          <w:color w:val="000000" w:themeColor="text1"/>
          <w:kern w:val="0"/>
          <w:sz w:val="24"/>
          <w:highlight w:val="none"/>
          <w14:textFill>
            <w14:solidFill>
              <w14:schemeClr w14:val="tx1"/>
            </w14:solidFill>
          </w14:textFill>
        </w:rPr>
        <w:t>应完全符合国家、行业或地方的相关质量标准，提供的技术指标、配套服务要求应当符合本招标文件要求。</w:t>
      </w:r>
    </w:p>
    <w:p w14:paraId="69C9038D">
      <w:pPr>
        <w:keepNext w:val="0"/>
        <w:keepLines w:val="0"/>
        <w:pageBreakBefore w:val="0"/>
        <w:widowControl w:val="0"/>
        <w:kinsoku/>
        <w:overflowPunct/>
        <w:autoSpaceDE/>
        <w:autoSpaceDN/>
        <w:bidi w:val="0"/>
        <w:adjustRightInd/>
        <w:snapToGrid w:val="0"/>
        <w:spacing w:line="360" w:lineRule="auto"/>
        <w:ind w:firstLine="482" w:firstLineChars="200"/>
        <w:textAlignment w:val="auto"/>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5.投标费用</w:t>
      </w:r>
    </w:p>
    <w:p w14:paraId="21C61761">
      <w:pPr>
        <w:keepNext w:val="0"/>
        <w:keepLines w:val="0"/>
        <w:pageBreakBefore w:val="0"/>
        <w:widowControl w:val="0"/>
        <w:tabs>
          <w:tab w:val="left" w:pos="567"/>
        </w:tabs>
        <w:kinsoku/>
        <w:overflowPunct/>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投标人应承担准备和参与投标有关的所有费用，采购人、采购代理机构在任何情况下均无义务和责任承担这些费用。</w:t>
      </w:r>
    </w:p>
    <w:p w14:paraId="67D99C3E">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6.招标要求</w:t>
      </w:r>
    </w:p>
    <w:p w14:paraId="56047D78">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6.1投标人所提供的服务方案与技术方案被采购人采用时，中标人所提供的货物、服务及相关内容必须符合本招标文件的要求并按要求实施，并认真履行合同规定的相关条款。</w:t>
      </w:r>
    </w:p>
    <w:p w14:paraId="17D55BAB">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采购人、采购代理机构可以在招标公告中规定的招标文件获取时间截止后，组织已获取招标文件的潜在投标人现场勘查或者召开标前答疑会。是否组织现场勘查或者召开答疑会，详见投标人前附表第11、12项。而无论采购代理机构是否安排踏勘现场，潜在投标人均应当将相关的因素作为投标所应当考虑或依据的因素。</w:t>
      </w:r>
    </w:p>
    <w:p w14:paraId="04BDE0ED">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7.通知</w:t>
      </w:r>
    </w:p>
    <w:p w14:paraId="003E522E">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对与本项目有关的通知，采购代理机构将通过山西政府采购平台以电子文档发出，因线路故障导致通知延迟或无法查看，代理机构或采购方将不承担任何责任，有关的招标投标活动可以继续有效地进行。</w:t>
      </w:r>
    </w:p>
    <w:p w14:paraId="37AA403F">
      <w:pPr>
        <w:keepNext w:val="0"/>
        <w:keepLines w:val="0"/>
        <w:pageBreakBefore w:val="0"/>
        <w:widowControl w:val="0"/>
        <w:kinsoku/>
        <w:overflowPunct/>
        <w:bidi w:val="0"/>
        <w:snapToGrid w:val="0"/>
        <w:spacing w:line="360" w:lineRule="auto"/>
        <w:ind w:firstLine="482"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8.解释权</w:t>
      </w:r>
    </w:p>
    <w:p w14:paraId="22F02DBA">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8.1本次招投标的最终解释权归为采购人、采购代理机构。</w:t>
      </w:r>
    </w:p>
    <w:p w14:paraId="77226477">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8.2当对一个问题有多种解释时，以采购人、采购代理机构按照相关法律法规规定的解释为准。</w:t>
      </w:r>
    </w:p>
    <w:p w14:paraId="46E7CE61">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8.3本文件未作须知明示，而又有相关法律、法规规定的，采购人、采购代理机构将依据相关法律法规的规定进行解释。</w:t>
      </w:r>
    </w:p>
    <w:p w14:paraId="09A9F784">
      <w:pPr>
        <w:keepNext w:val="0"/>
        <w:keepLines w:val="0"/>
        <w:pageBreakBefore w:val="0"/>
        <w:widowControl w:val="0"/>
        <w:kinsoku/>
        <w:overflowPunct/>
        <w:bidi w:val="0"/>
        <w:adjustRightInd w:val="0"/>
        <w:snapToGrid w:val="0"/>
        <w:spacing w:line="360" w:lineRule="auto"/>
        <w:ind w:firstLine="482" w:firstLineChars="200"/>
        <w:outlineLvl w:val="1"/>
        <w:rPr>
          <w:rFonts w:ascii="宋体" w:hAnsi="宋体" w:cs="宋体"/>
          <w:b/>
          <w:color w:val="000000" w:themeColor="text1"/>
          <w:kern w:val="0"/>
          <w:sz w:val="24"/>
          <w:highlight w:val="none"/>
          <w14:textFill>
            <w14:solidFill>
              <w14:schemeClr w14:val="tx1"/>
            </w14:solidFill>
          </w14:textFill>
        </w:rPr>
      </w:pPr>
      <w:bookmarkStart w:id="18" w:name="_Toc180347453"/>
      <w:bookmarkStart w:id="19" w:name="_Toc32547"/>
      <w:r>
        <w:rPr>
          <w:rFonts w:hint="eastAsia" w:ascii="宋体" w:hAnsi="宋体" w:cs="宋体"/>
          <w:b/>
          <w:color w:val="000000" w:themeColor="text1"/>
          <w:kern w:val="0"/>
          <w:sz w:val="24"/>
          <w:highlight w:val="none"/>
          <w14:textFill>
            <w14:solidFill>
              <w14:schemeClr w14:val="tx1"/>
            </w14:solidFill>
          </w14:textFill>
        </w:rPr>
        <w:t>二、招标文件组成、澄清和修改</w:t>
      </w:r>
      <w:bookmarkEnd w:id="18"/>
      <w:bookmarkEnd w:id="19"/>
    </w:p>
    <w:p w14:paraId="29EEC7B1">
      <w:pPr>
        <w:keepNext w:val="0"/>
        <w:keepLines w:val="0"/>
        <w:pageBreakBefore w:val="0"/>
        <w:widowControl w:val="0"/>
        <w:kinsoku/>
        <w:overflowPunct/>
        <w:bidi w:val="0"/>
        <w:snapToGrid w:val="0"/>
        <w:spacing w:line="360" w:lineRule="auto"/>
        <w:ind w:firstLine="482"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9.招标文件的组成</w:t>
      </w:r>
    </w:p>
    <w:p w14:paraId="450CCC1F">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9.1招标文件由下列</w:t>
      </w:r>
      <w:r>
        <w:rPr>
          <w:rFonts w:hint="eastAsia" w:ascii="宋体" w:hAnsi="宋体" w:cs="宋体"/>
          <w:color w:val="000000" w:themeColor="text1"/>
          <w:kern w:val="0"/>
          <w:sz w:val="24"/>
          <w:highlight w:val="none"/>
          <w:lang w:val="en-US" w:eastAsia="zh-CN"/>
          <w14:textFill>
            <w14:solidFill>
              <w14:schemeClr w14:val="tx1"/>
            </w14:solidFill>
          </w14:textFill>
        </w:rPr>
        <w:t>八</w:t>
      </w:r>
      <w:r>
        <w:rPr>
          <w:rFonts w:hint="eastAsia" w:ascii="宋体" w:hAnsi="宋体" w:cs="宋体"/>
          <w:color w:val="000000" w:themeColor="text1"/>
          <w:kern w:val="0"/>
          <w:sz w:val="24"/>
          <w:highlight w:val="none"/>
          <w14:textFill>
            <w14:solidFill>
              <w14:schemeClr w14:val="tx1"/>
            </w14:solidFill>
          </w14:textFill>
        </w:rPr>
        <w:t>部分内容组成：</w:t>
      </w:r>
    </w:p>
    <w:p w14:paraId="2868900C">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第一部分 招标公告；</w:t>
      </w:r>
    </w:p>
    <w:p w14:paraId="48983F5E">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第二部分 投标人须知前附表；</w:t>
      </w:r>
    </w:p>
    <w:p w14:paraId="4C4DEEE1">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第三部分 投标人须知；</w:t>
      </w:r>
    </w:p>
    <w:p w14:paraId="285844D5">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第四部分 评审方法和评审标准；</w:t>
      </w:r>
    </w:p>
    <w:p w14:paraId="66B028DE">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第五部分 商务、技术要求；</w:t>
      </w:r>
    </w:p>
    <w:p w14:paraId="1F32A556">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第六部分 拟签订的合同文本；</w:t>
      </w:r>
    </w:p>
    <w:p w14:paraId="5EA309A4">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第七部分 投标文件格式；</w:t>
      </w:r>
    </w:p>
    <w:p w14:paraId="0352F390">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第八部分 相关附件</w:t>
      </w:r>
    </w:p>
    <w:p w14:paraId="251E6C47">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9.2投标人应详细阅读招标文件的全部内容。如果没有按照招标文件要求提交全部资料或者没有对招标文件在各方面做出实质性响应，有可能被确定为投标无效。</w:t>
      </w:r>
    </w:p>
    <w:p w14:paraId="7985D7E4">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9.3除特殊要求外，招标文件不单独提供本采购项目使用地的自然环境、气候条件、公用设施等情况，投标人被视为熟悉上述与履行合同有关的一切情况。</w:t>
      </w:r>
    </w:p>
    <w:p w14:paraId="1034BFB0">
      <w:pPr>
        <w:keepNext w:val="0"/>
        <w:keepLines w:val="0"/>
        <w:pageBreakBefore w:val="0"/>
        <w:widowControl w:val="0"/>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10．招标文件的澄清和修改</w:t>
      </w:r>
    </w:p>
    <w:p w14:paraId="4171A7EF">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10.1采购人、采购代理机构对招标文件澄清和修改的时间及方式：</w:t>
      </w:r>
    </w:p>
    <w:p w14:paraId="6193A20B">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在招标公告中规定的提交首次投标文件截止之日前，采购人、采购代理机构可以对已发出的招标文件进行必要的澄清或修改，其内容作为招标文件的组成部分。澄清或修改的内容可能影响投标文件编制的，采购人、采购代理机构应当在投标截止时间至少15日前，通过中国政府采购网山西分网发布更正公告。不足15日的，应当顺延提交投标文件的截止时间。</w:t>
      </w:r>
    </w:p>
    <w:p w14:paraId="2C002EC3">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10.2更正公告中包括更正事项、更正前内容、更正后内容，但不包括更正内容的来源。</w:t>
      </w:r>
    </w:p>
    <w:p w14:paraId="6F87C2D7">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10.3潜在投标人对招标文件的询问时间及方式：</w:t>
      </w:r>
    </w:p>
    <w:p w14:paraId="1418D3F3">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任何已下载了招标文件的潜在投标人，对招标文件进行的询问，均应在招标公告中规定的提交投标文件截止时间前，通过山西政府采购平台将询问的事项提交给采购人、采购代理机构。</w:t>
      </w:r>
    </w:p>
    <w:p w14:paraId="11748C0C">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10.4澄清、修改及其它答复的效力：</w:t>
      </w:r>
    </w:p>
    <w:p w14:paraId="2969735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采购人、采购代理机构一旦对招标文件做出澄清或修改，即发生效力，对所有投标人均具有约束力。</w:t>
      </w:r>
    </w:p>
    <w:p w14:paraId="1899619A">
      <w:pPr>
        <w:keepNext w:val="0"/>
        <w:keepLines w:val="0"/>
        <w:pageBreakBefore w:val="0"/>
        <w:widowControl w:val="0"/>
        <w:kinsoku/>
        <w:overflowPunct/>
        <w:bidi w:val="0"/>
        <w:adjustRightInd w:val="0"/>
        <w:snapToGrid w:val="0"/>
        <w:spacing w:line="360" w:lineRule="auto"/>
        <w:ind w:firstLine="482" w:firstLineChars="200"/>
        <w:outlineLvl w:val="1"/>
        <w:rPr>
          <w:rFonts w:ascii="宋体" w:hAnsi="宋体" w:cs="宋体"/>
          <w:b/>
          <w:color w:val="000000" w:themeColor="text1"/>
          <w:kern w:val="0"/>
          <w:sz w:val="24"/>
          <w:highlight w:val="none"/>
          <w14:textFill>
            <w14:solidFill>
              <w14:schemeClr w14:val="tx1"/>
            </w14:solidFill>
          </w14:textFill>
        </w:rPr>
      </w:pPr>
      <w:bookmarkStart w:id="20" w:name="_Toc5439"/>
      <w:bookmarkStart w:id="21" w:name="_Toc180347454"/>
      <w:r>
        <w:rPr>
          <w:rFonts w:hint="eastAsia" w:ascii="宋体" w:hAnsi="宋体" w:cs="宋体"/>
          <w:b/>
          <w:color w:val="000000" w:themeColor="text1"/>
          <w:kern w:val="0"/>
          <w:sz w:val="24"/>
          <w:highlight w:val="none"/>
          <w14:textFill>
            <w14:solidFill>
              <w14:schemeClr w14:val="tx1"/>
            </w14:solidFill>
          </w14:textFill>
        </w:rPr>
        <w:t>三、投标文件组成、编制与要求</w:t>
      </w:r>
      <w:bookmarkEnd w:id="20"/>
      <w:bookmarkEnd w:id="21"/>
      <w:r>
        <w:rPr>
          <w:rFonts w:hint="eastAsia" w:ascii="宋体" w:hAnsi="宋体" w:cs="宋体"/>
          <w:b/>
          <w:color w:val="000000" w:themeColor="text1"/>
          <w:kern w:val="0"/>
          <w:sz w:val="24"/>
          <w:highlight w:val="none"/>
          <w14:textFill>
            <w14:solidFill>
              <w14:schemeClr w14:val="tx1"/>
            </w14:solidFill>
          </w14:textFill>
        </w:rPr>
        <w:t xml:space="preserve">      </w:t>
      </w:r>
    </w:p>
    <w:p w14:paraId="110D4788">
      <w:pPr>
        <w:keepNext w:val="0"/>
        <w:keepLines w:val="0"/>
        <w:pageBreakBefore w:val="0"/>
        <w:widowControl w:val="0"/>
        <w:kinsoku/>
        <w:overflowPunct/>
        <w:bidi w:val="0"/>
        <w:snapToGrid w:val="0"/>
        <w:spacing w:line="360" w:lineRule="auto"/>
        <w:ind w:firstLine="482"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11.投标文件的组成</w:t>
      </w:r>
    </w:p>
    <w:p w14:paraId="1E8F05B5">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11.1投标文件由资格证明文件和商务技术文件两部分组成。</w:t>
      </w:r>
    </w:p>
    <w:p w14:paraId="588326AC">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11.2资格证明文件：指投标人对招标文件前附表第5项“投标人应提交的资格证明文件”作出响应证明其有资格参加投标的证明文件。</w:t>
      </w:r>
    </w:p>
    <w:p w14:paraId="5D6FC181">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11.3商务、技术文件：指投标人对招标文件前附表第6项“投标人应提交的商务、技术文件”、第7项“政府采购相关政策要求”作出响应证明其有能力提供采购标的、履行合同义务的证明文件。</w:t>
      </w:r>
    </w:p>
    <w:p w14:paraId="367990C6">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11.4如投标人参加多包投标的，应按包分别独立制作投标文件。</w:t>
      </w:r>
    </w:p>
    <w:p w14:paraId="76E49948">
      <w:pPr>
        <w:keepNext w:val="0"/>
        <w:keepLines w:val="0"/>
        <w:pageBreakBefore w:val="0"/>
        <w:widowControl w:val="0"/>
        <w:tabs>
          <w:tab w:val="left" w:pos="0"/>
        </w:tabs>
        <w:kinsoku/>
        <w:overflowPunct/>
        <w:topLinePunct/>
        <w:bidi w:val="0"/>
        <w:adjustRightInd w:val="0"/>
        <w:snapToGrid w:val="0"/>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12.投标文件编制与要求</w:t>
      </w:r>
    </w:p>
    <w:p w14:paraId="4DEA1E13">
      <w:pPr>
        <w:keepNext w:val="0"/>
        <w:keepLines w:val="0"/>
        <w:pageBreakBefore w:val="0"/>
        <w:widowControl w:val="0"/>
        <w:tabs>
          <w:tab w:val="left" w:pos="0"/>
        </w:tabs>
        <w:kinsoku/>
        <w:overflowPunct/>
        <w:topLinePunct/>
        <w:bidi w:val="0"/>
        <w:adjustRightInd w:val="0"/>
        <w:snapToGrid w:val="0"/>
        <w:spacing w:line="360" w:lineRule="auto"/>
        <w:ind w:firstLine="482" w:firstLineChars="200"/>
        <w:rPr>
          <w:rFonts w:ascii="宋体" w:hAnsi="宋体" w:cs="宋体"/>
          <w:b/>
          <w:kern w:val="0"/>
          <w:sz w:val="24"/>
          <w:highlight w:val="none"/>
        </w:rPr>
      </w:pPr>
      <w:r>
        <w:rPr>
          <w:rFonts w:hint="eastAsia" w:ascii="宋体" w:hAnsi="宋体" w:cs="宋体"/>
          <w:b/>
          <w:kern w:val="0"/>
          <w:sz w:val="24"/>
          <w:highlight w:val="none"/>
        </w:rPr>
        <w:t>12.1投标文件的语言和计量单位要求</w:t>
      </w:r>
    </w:p>
    <w:p w14:paraId="639CB873">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12.1.1投标人提交的投标文件（包括商务、技术文件和资料中的说明）以及投标人与采购人、采购代理机构就有关招标投标的所有往来函均应使用中文简体字。</w:t>
      </w:r>
    </w:p>
    <w:p w14:paraId="1E778F2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12.1.2投标文件所使用的计量单位，应使用中华人民共和国法定计量单位。</w:t>
      </w:r>
    </w:p>
    <w:p w14:paraId="18F5A69B">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12.1.3原版为外文的证书类、证明类、资料类等文件以及外国人的本人签名、外国公司的名称或外国印章等可以是外文，但应当提供加盖投标人公章与原版文件相一致的中文翻译件。必要时评标委员会可以要求投标人提供附有公证书的中文翻译件。否则，产生的不利后果由投标人承担。</w:t>
      </w:r>
    </w:p>
    <w:p w14:paraId="124ED910">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原版为外文的证书类、证明类、资料类文件，存在与投标人名称或其它实际情况不符情形的，投标人应当提供相关证明文件。</w:t>
      </w:r>
    </w:p>
    <w:p w14:paraId="4FA4885F">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kern w:val="0"/>
          <w:sz w:val="24"/>
          <w:highlight w:val="none"/>
        </w:rPr>
      </w:pPr>
      <w:r>
        <w:rPr>
          <w:rFonts w:hint="eastAsia" w:ascii="宋体" w:hAnsi="宋体" w:cs="宋体"/>
          <w:b/>
          <w:bCs/>
          <w:kern w:val="0"/>
          <w:sz w:val="24"/>
          <w:highlight w:val="none"/>
        </w:rPr>
        <w:t>12.2编制格式要求</w:t>
      </w:r>
    </w:p>
    <w:p w14:paraId="25B54F7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本招标文件第七部分“投标文件格式”中已提供资格证明文件和商务、技术文件格式的，应按相应格式与要求编写（未提供格式的由投标人自行编写），投标人仅需完善格式中需填写的内容，不得更改格式本身内容，否则，可能会导致投标无效。</w:t>
      </w:r>
    </w:p>
    <w:p w14:paraId="57EC2645">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kern w:val="0"/>
          <w:sz w:val="24"/>
          <w:highlight w:val="none"/>
        </w:rPr>
      </w:pPr>
      <w:r>
        <w:rPr>
          <w:rFonts w:hint="eastAsia" w:ascii="宋体" w:hAnsi="宋体" w:cs="宋体"/>
          <w:b/>
          <w:bCs/>
          <w:kern w:val="0"/>
          <w:sz w:val="24"/>
          <w:highlight w:val="none"/>
        </w:rPr>
        <w:t>12.3编排要求</w:t>
      </w:r>
    </w:p>
    <w:p w14:paraId="5AF0ACE0">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b/>
          <w:bCs/>
          <w:kern w:val="0"/>
          <w:sz w:val="24"/>
          <w:highlight w:val="none"/>
        </w:rPr>
      </w:pPr>
      <w:r>
        <w:rPr>
          <w:rFonts w:hint="eastAsia" w:ascii="宋体" w:hAnsi="宋体" w:cs="宋体"/>
          <w:kern w:val="0"/>
          <w:sz w:val="24"/>
          <w:highlight w:val="none"/>
        </w:rPr>
        <w:t>投标文件采用A4幅面；应按照招标文件第七部分“投标文件格式”的顺序统一编目、正序编排页码（其中：证明材料扫描件或影印件或彩色宣传资料等均应须与投标文件正文中的相关内容一起正序逐页编排页码）。由于编排混乱导致投标文件被误读或查找不到，其责任应当由投标人自行承担。</w:t>
      </w:r>
    </w:p>
    <w:p w14:paraId="2253DC50">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13.投标文件填写说明</w:t>
      </w:r>
    </w:p>
    <w:p w14:paraId="2C9DE370">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13.1投标人应详细阅读本招标文件的全部内容，应对本招标文件要求做出实质性和完整性的响应。并对投标文件所提供的全部资料的真实性、可靠性负责，接受评标委员会对其中任何资料进一步审查。    </w:t>
      </w:r>
    </w:p>
    <w:p w14:paraId="48511B08">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13.2因投标文件字迹潦草、提交资料不清晰或表达不清楚所引起的不利后果由投标人自行承担。</w:t>
      </w:r>
    </w:p>
    <w:p w14:paraId="0EFB1352">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13.3投标文件应严格按照招标文件第七部分“投标文件格式”中提供的格式内容要求逐项填写，不准有空项、缺项、漏项；无相应响应项的内容，应填写“无”、“未测试”、“没有相应指标”、“/”等明确的回答。</w:t>
      </w:r>
    </w:p>
    <w:p w14:paraId="6A11903B">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13.4为提倡诚实信用的投标行为，投标人应本着诚信原则，投标人根据实际情况，在投标文件商务、技术响应表内容中，对招标文件的各项商务、技术</w:t>
      </w:r>
      <w:r>
        <w:rPr>
          <w:rFonts w:hint="eastAsia" w:ascii="宋体" w:hAnsi="宋体" w:cs="宋体"/>
          <w:color w:val="000000" w:themeColor="text1"/>
          <w:kern w:val="0"/>
          <w:sz w:val="24"/>
          <w:highlight w:val="none"/>
          <w:lang w:val="en-US" w:eastAsia="zh-CN"/>
          <w14:textFill>
            <w14:solidFill>
              <w14:schemeClr w14:val="tx1"/>
            </w14:solidFill>
          </w14:textFill>
        </w:rPr>
        <w:t>与</w:t>
      </w:r>
      <w:r>
        <w:rPr>
          <w:rFonts w:hint="eastAsia" w:ascii="宋体" w:hAnsi="宋体" w:cs="宋体"/>
          <w:color w:val="000000" w:themeColor="text1"/>
          <w:kern w:val="0"/>
          <w:sz w:val="24"/>
          <w:highlight w:val="none"/>
          <w14:textFill>
            <w14:solidFill>
              <w14:schemeClr w14:val="tx1"/>
            </w14:solidFill>
          </w14:textFill>
        </w:rPr>
        <w:t>服务要求逐条做出真实响应，并以审慎的态度明确、清楚地披露其响应情况</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投标文件</w:t>
      </w:r>
      <w:r>
        <w:rPr>
          <w:rFonts w:hint="eastAsia" w:ascii="宋体" w:hAnsi="宋体" w:cs="宋体"/>
          <w:color w:val="000000" w:themeColor="text1"/>
          <w:kern w:val="0"/>
          <w:sz w:val="24"/>
          <w:highlight w:val="none"/>
          <w:lang w:val="en-US" w:eastAsia="zh-CN"/>
          <w14:textFill>
            <w14:solidFill>
              <w14:schemeClr w14:val="tx1"/>
            </w14:solidFill>
          </w14:textFill>
        </w:rPr>
        <w:t>响应</w:t>
      </w:r>
      <w:r>
        <w:rPr>
          <w:rFonts w:hint="eastAsia" w:ascii="宋体" w:hAnsi="宋体" w:cs="宋体"/>
          <w:color w:val="000000" w:themeColor="text1"/>
          <w:kern w:val="0"/>
          <w:sz w:val="24"/>
          <w:highlight w:val="none"/>
          <w14:textFill>
            <w14:solidFill>
              <w14:schemeClr w14:val="tx1"/>
            </w14:solidFill>
          </w14:textFill>
        </w:rPr>
        <w:t>表中</w:t>
      </w:r>
      <w:r>
        <w:rPr>
          <w:rFonts w:hint="eastAsia" w:ascii="宋体" w:hAnsi="宋体" w:cs="宋体"/>
          <w:color w:val="000000" w:themeColor="text1"/>
          <w:kern w:val="0"/>
          <w:sz w:val="24"/>
          <w:highlight w:val="none"/>
          <w:lang w:val="en-US" w:eastAsia="zh-CN"/>
          <w14:textFill>
            <w14:solidFill>
              <w14:schemeClr w14:val="tx1"/>
            </w14:solidFill>
          </w14:textFill>
        </w:rPr>
        <w:t>的</w:t>
      </w:r>
      <w:r>
        <w:rPr>
          <w:rFonts w:hint="eastAsia" w:ascii="宋体" w:hAnsi="宋体" w:cs="宋体"/>
          <w:color w:val="000000" w:themeColor="text1"/>
          <w:kern w:val="0"/>
          <w:sz w:val="24"/>
          <w:highlight w:val="none"/>
          <w14:textFill>
            <w14:solidFill>
              <w14:schemeClr w14:val="tx1"/>
            </w14:solidFill>
          </w14:textFill>
        </w:rPr>
        <w:t>“投标文件响应内容”未对招标文件内容逐条</w:t>
      </w:r>
      <w:r>
        <w:rPr>
          <w:rFonts w:hint="eastAsia" w:ascii="宋体" w:hAnsi="宋体" w:cs="宋体"/>
          <w:color w:val="000000" w:themeColor="text1"/>
          <w:kern w:val="0"/>
          <w:sz w:val="24"/>
          <w:highlight w:val="none"/>
          <w:lang w:val="en-US" w:eastAsia="zh-CN"/>
          <w14:textFill>
            <w14:solidFill>
              <w14:schemeClr w14:val="tx1"/>
            </w14:solidFill>
          </w14:textFill>
        </w:rPr>
        <w:t>做出真实响应，仅在</w:t>
      </w:r>
      <w:r>
        <w:rPr>
          <w:rFonts w:hint="eastAsia" w:ascii="宋体" w:hAnsi="宋体" w:cs="宋体"/>
          <w:color w:val="000000" w:themeColor="text1"/>
          <w:kern w:val="0"/>
          <w:sz w:val="24"/>
          <w:highlight w:val="none"/>
          <w14:textFill>
            <w14:solidFill>
              <w14:schemeClr w14:val="tx1"/>
            </w14:solidFill>
          </w14:textFill>
        </w:rPr>
        <w:t>“投标文件响应内容”中填写“响应”、“完全响应”、“无偏离”、“/”</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空白等</w:t>
      </w:r>
      <w:r>
        <w:rPr>
          <w:rFonts w:hint="eastAsia" w:ascii="宋体" w:hAnsi="宋体" w:cs="宋体"/>
          <w:color w:val="000000" w:themeColor="text1"/>
          <w:kern w:val="0"/>
          <w:sz w:val="24"/>
          <w:highlight w:val="none"/>
          <w:lang w:val="en-US" w:eastAsia="zh-CN"/>
          <w14:textFill>
            <w14:solidFill>
              <w14:schemeClr w14:val="tx1"/>
            </w14:solidFill>
          </w14:textFill>
        </w:rPr>
        <w:t>或在</w:t>
      </w:r>
      <w:r>
        <w:rPr>
          <w:rFonts w:hint="eastAsia" w:ascii="宋体" w:hAnsi="宋体" w:cs="宋体"/>
          <w:color w:val="000000" w:themeColor="text1"/>
          <w:kern w:val="0"/>
          <w:sz w:val="24"/>
          <w:highlight w:val="none"/>
          <w14:textFill>
            <w14:solidFill>
              <w14:schemeClr w14:val="tx1"/>
            </w14:solidFill>
          </w14:textFill>
        </w:rPr>
        <w:t>“招标文件商务要求”、“招标文件技术</w:t>
      </w:r>
      <w:r>
        <w:rPr>
          <w:rFonts w:hint="eastAsia" w:ascii="宋体" w:hAnsi="宋体" w:cs="宋体"/>
          <w:color w:val="000000" w:themeColor="text1"/>
          <w:kern w:val="0"/>
          <w:sz w:val="24"/>
          <w:highlight w:val="none"/>
          <w:lang w:val="en-US" w:eastAsia="zh-CN"/>
          <w14:textFill>
            <w14:solidFill>
              <w14:schemeClr w14:val="tx1"/>
            </w14:solidFill>
          </w14:textFill>
        </w:rPr>
        <w:t>与</w:t>
      </w:r>
      <w:r>
        <w:rPr>
          <w:rFonts w:hint="eastAsia" w:ascii="宋体" w:hAnsi="宋体" w:cs="宋体"/>
          <w:color w:val="000000" w:themeColor="text1"/>
          <w:kern w:val="0"/>
          <w:sz w:val="24"/>
          <w:highlight w:val="none"/>
          <w14:textFill>
            <w14:solidFill>
              <w14:schemeClr w14:val="tx1"/>
            </w14:solidFill>
          </w14:textFill>
        </w:rPr>
        <w:t>服务要求”</w:t>
      </w:r>
      <w:r>
        <w:rPr>
          <w:rFonts w:hint="eastAsia" w:ascii="宋体" w:hAnsi="宋体" w:cs="宋体"/>
          <w:color w:val="000000" w:themeColor="text1"/>
          <w:kern w:val="0"/>
          <w:sz w:val="24"/>
          <w:highlight w:val="none"/>
          <w:lang w:val="en-US" w:eastAsia="zh-CN"/>
          <w14:textFill>
            <w14:solidFill>
              <w14:schemeClr w14:val="tx1"/>
            </w14:solidFill>
          </w14:textFill>
        </w:rPr>
        <w:t>与</w:t>
      </w:r>
      <w:r>
        <w:rPr>
          <w:rFonts w:hint="eastAsia" w:ascii="宋体" w:hAnsi="宋体" w:cs="宋体"/>
          <w:color w:val="000000" w:themeColor="text1"/>
          <w:kern w:val="0"/>
          <w:sz w:val="24"/>
          <w:highlight w:val="none"/>
          <w14:textFill>
            <w14:solidFill>
              <w14:schemeClr w14:val="tx1"/>
            </w14:solidFill>
          </w14:textFill>
        </w:rPr>
        <w:t>“投标文件响应内容”</w:t>
      </w:r>
      <w:r>
        <w:rPr>
          <w:rFonts w:hint="eastAsia" w:ascii="宋体" w:hAnsi="宋体" w:cs="宋体"/>
          <w:color w:val="000000" w:themeColor="text1"/>
          <w:kern w:val="0"/>
          <w:sz w:val="24"/>
          <w:highlight w:val="none"/>
          <w:lang w:val="en-US" w:eastAsia="zh-CN"/>
          <w14:textFill>
            <w14:solidFill>
              <w14:schemeClr w14:val="tx1"/>
            </w14:solidFill>
          </w14:textFill>
        </w:rPr>
        <w:t>中仅填写</w:t>
      </w:r>
      <w:r>
        <w:rPr>
          <w:rFonts w:hint="eastAsia" w:ascii="宋体" w:hAnsi="宋体" w:cs="宋体"/>
          <w:color w:val="000000" w:themeColor="text1"/>
          <w:kern w:val="0"/>
          <w:sz w:val="24"/>
          <w:highlight w:val="none"/>
          <w14:textFill>
            <w14:solidFill>
              <w14:schemeClr w14:val="tx1"/>
            </w14:solidFill>
          </w14:textFill>
        </w:rPr>
        <w:t>“响应”、“完全响应”、“无偏离”、“/”</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空白等情形</w:t>
      </w:r>
      <w:r>
        <w:rPr>
          <w:rFonts w:hint="eastAsia" w:ascii="宋体" w:hAnsi="宋体" w:cs="宋体"/>
          <w:color w:val="000000" w:themeColor="text1"/>
          <w:kern w:val="0"/>
          <w:sz w:val="24"/>
          <w:highlight w:val="none"/>
          <w:lang w:val="en-US" w:eastAsia="zh-CN"/>
          <w14:textFill>
            <w14:solidFill>
              <w14:schemeClr w14:val="tx1"/>
            </w14:solidFill>
          </w14:textFill>
        </w:rPr>
        <w:t>的</w:t>
      </w:r>
      <w:r>
        <w:rPr>
          <w:rFonts w:hint="eastAsia" w:ascii="宋体" w:hAnsi="宋体" w:cs="宋体"/>
          <w:color w:val="000000" w:themeColor="text1"/>
          <w:kern w:val="0"/>
          <w:sz w:val="24"/>
          <w:highlight w:val="none"/>
          <w14:textFill>
            <w14:solidFill>
              <w14:schemeClr w14:val="tx1"/>
            </w14:solidFill>
          </w14:textFill>
        </w:rPr>
        <w:t>，评标委员会</w:t>
      </w:r>
      <w:r>
        <w:rPr>
          <w:rFonts w:hint="eastAsia" w:ascii="宋体" w:hAnsi="宋体" w:cs="宋体"/>
          <w:color w:val="000000" w:themeColor="text1"/>
          <w:kern w:val="0"/>
          <w:sz w:val="24"/>
          <w:highlight w:val="none"/>
          <w:lang w:val="en-US" w:eastAsia="zh-CN"/>
          <w14:textFill>
            <w14:solidFill>
              <w14:schemeClr w14:val="tx1"/>
            </w14:solidFill>
          </w14:textFill>
        </w:rPr>
        <w:t>均有权按未实质上响应招标文件要求，否决其投标</w:t>
      </w:r>
      <w:r>
        <w:rPr>
          <w:rFonts w:hint="eastAsia" w:ascii="宋体" w:hAnsi="宋体" w:cs="宋体"/>
          <w:color w:val="000000" w:themeColor="text1"/>
          <w:kern w:val="0"/>
          <w:sz w:val="24"/>
          <w:highlight w:val="none"/>
          <w14:textFill>
            <w14:solidFill>
              <w14:schemeClr w14:val="tx1"/>
            </w14:solidFill>
          </w14:textFill>
        </w:rPr>
        <w:t>。</w:t>
      </w:r>
    </w:p>
    <w:p w14:paraId="7F4457AC">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13.5在评审中，投标人投标文件“商务、技术响应表”的“投标文件响应内容”中存在重大偏离或被认定为属于重大偏离的，评标委员会有权按未实质上响应招标文件要求，否决其投标。</w:t>
      </w:r>
    </w:p>
    <w:p w14:paraId="375A10CD">
      <w:pPr>
        <w:keepNext w:val="0"/>
        <w:keepLines w:val="0"/>
        <w:pageBreakBefore w:val="0"/>
        <w:widowControl w:val="0"/>
        <w:kinsoku/>
        <w:overflowPunct/>
        <w:topLinePunct/>
        <w:bidi w:val="0"/>
        <w:adjustRightInd w:val="0"/>
        <w:snapToGrid w:val="0"/>
        <w:spacing w:line="360" w:lineRule="auto"/>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13.6响应情况：投标人根据实际响应情况与招标文件要求对比后，在投标文件“商务、技术响应表”的“响应情况”栏填写“无偏离”或“正偏离”或“负偏离”字样。</w:t>
      </w:r>
    </w:p>
    <w:p w14:paraId="77E1AF0D">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kern w:val="0"/>
          <w:sz w:val="24"/>
          <w:highlight w:val="none"/>
        </w:rPr>
      </w:pPr>
      <w:r>
        <w:rPr>
          <w:rFonts w:hint="eastAsia" w:ascii="宋体" w:hAnsi="宋体" w:cs="宋体"/>
          <w:b/>
          <w:sz w:val="24"/>
          <w:highlight w:val="none"/>
        </w:rPr>
        <w:t>14.报价要求</w:t>
      </w:r>
    </w:p>
    <w:p w14:paraId="5340E9E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kern w:val="0"/>
          <w:sz w:val="24"/>
          <w:highlight w:val="none"/>
        </w:rPr>
        <w:t>14.1投标过程中的所有报价均以</w:t>
      </w:r>
      <w:r>
        <w:rPr>
          <w:rFonts w:hint="eastAsia" w:ascii="宋体" w:hAnsi="宋体" w:cs="宋体"/>
          <w:b/>
          <w:kern w:val="0"/>
          <w:sz w:val="24"/>
          <w:highlight w:val="none"/>
        </w:rPr>
        <w:t>人民币</w:t>
      </w:r>
      <w:r>
        <w:rPr>
          <w:rFonts w:hint="eastAsia" w:ascii="宋体" w:hAnsi="宋体" w:cs="宋体"/>
          <w:kern w:val="0"/>
          <w:sz w:val="24"/>
          <w:highlight w:val="none"/>
        </w:rPr>
        <w:t>“元”为计算单位</w:t>
      </w:r>
      <w:r>
        <w:rPr>
          <w:rFonts w:hint="eastAsia" w:ascii="宋体" w:hAnsi="宋体" w:cs="宋体"/>
          <w:sz w:val="24"/>
          <w:highlight w:val="none"/>
        </w:rPr>
        <w:t>。</w:t>
      </w:r>
    </w:p>
    <w:p w14:paraId="546BE78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14.2</w:t>
      </w:r>
      <w:r>
        <w:rPr>
          <w:rFonts w:hint="eastAsia" w:ascii="宋体" w:hAnsi="宋体" w:eastAsia="宋体" w:cs="宋体"/>
          <w:color w:val="auto"/>
          <w:kern w:val="0"/>
          <w:sz w:val="24"/>
          <w:szCs w:val="24"/>
          <w:highlight w:val="none"/>
        </w:rPr>
        <w:t>只要投报了一个确定数额</w:t>
      </w:r>
      <w:r>
        <w:rPr>
          <w:rFonts w:hint="eastAsia" w:ascii="宋体" w:hAnsi="宋体" w:cs="宋体"/>
          <w:color w:val="auto"/>
          <w:kern w:val="0"/>
          <w:sz w:val="24"/>
          <w:szCs w:val="24"/>
          <w:highlight w:val="none"/>
          <w:lang w:val="en-US" w:eastAsia="zh-CN"/>
        </w:rPr>
        <w:t>的总价</w:t>
      </w:r>
      <w:r>
        <w:rPr>
          <w:rFonts w:hint="eastAsia" w:ascii="宋体" w:hAnsi="宋体" w:eastAsia="宋体" w:cs="宋体"/>
          <w:color w:val="auto"/>
          <w:kern w:val="0"/>
          <w:sz w:val="24"/>
          <w:szCs w:val="24"/>
          <w:highlight w:val="none"/>
        </w:rPr>
        <w:t>，无论分项价格是否全部填报了相应的金额或免费字样，报价应被视为已经包含了但并不限于</w:t>
      </w:r>
      <w:r>
        <w:rPr>
          <w:rFonts w:hint="eastAsia" w:ascii="宋体" w:hAnsi="宋体" w:eastAsia="宋体" w:cs="宋体"/>
          <w:color w:val="auto"/>
          <w:kern w:val="0"/>
          <w:sz w:val="24"/>
          <w:szCs w:val="24"/>
          <w:highlight w:val="none"/>
          <w:lang w:val="en-US" w:eastAsia="zh-CN"/>
        </w:rPr>
        <w:t>完成本项目所需的所有服务内容,</w:t>
      </w:r>
      <w:r>
        <w:rPr>
          <w:rFonts w:hint="eastAsia" w:ascii="宋体" w:hAnsi="宋体" w:eastAsia="宋体" w:cs="宋体"/>
          <w:color w:val="auto"/>
          <w:kern w:val="0"/>
          <w:sz w:val="24"/>
          <w:szCs w:val="24"/>
          <w:highlight w:val="none"/>
        </w:rPr>
        <w:t>提供承载本次服务所必要的</w:t>
      </w:r>
      <w:r>
        <w:rPr>
          <w:rFonts w:hint="eastAsia" w:ascii="宋体" w:hAnsi="宋体" w:eastAsia="宋体" w:cs="宋体"/>
          <w:color w:val="auto"/>
          <w:kern w:val="0"/>
          <w:sz w:val="24"/>
          <w:szCs w:val="24"/>
          <w:highlight w:val="none"/>
          <w:lang w:val="en-US" w:eastAsia="zh-CN"/>
        </w:rPr>
        <w:t>人员、</w:t>
      </w:r>
      <w:r>
        <w:rPr>
          <w:rFonts w:hint="eastAsia" w:ascii="宋体" w:hAnsi="宋体" w:eastAsia="宋体" w:cs="宋体"/>
          <w:color w:val="auto"/>
          <w:kern w:val="0"/>
          <w:sz w:val="24"/>
          <w:szCs w:val="24"/>
          <w:highlight w:val="none"/>
        </w:rPr>
        <w:t>设备、</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交通</w:t>
      </w:r>
      <w:r>
        <w:rPr>
          <w:rFonts w:hint="eastAsia" w:ascii="宋体" w:hAnsi="宋体" w:eastAsia="宋体" w:cs="宋体"/>
          <w:color w:val="000000"/>
          <w:kern w:val="0"/>
          <w:sz w:val="24"/>
          <w:szCs w:val="24"/>
          <w:highlight w:val="none"/>
        </w:rPr>
        <w:t>、保险等以及所需缴纳的相关税费等费用。</w:t>
      </w:r>
      <w:r>
        <w:rPr>
          <w:rFonts w:hint="eastAsia" w:ascii="宋体" w:hAnsi="宋体" w:eastAsia="宋体" w:cs="宋体"/>
          <w:color w:val="auto"/>
          <w:kern w:val="0"/>
          <w:sz w:val="24"/>
          <w:szCs w:val="24"/>
          <w:highlight w:val="none"/>
        </w:rPr>
        <w:t>在其它情况下，由于分项报价填报不完整、不清楚或存在其它任何失误，所导致的任何不利后果均应当由</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w:t>
      </w:r>
    </w:p>
    <w:p w14:paraId="093391D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14.3</w:t>
      </w:r>
      <w:r>
        <w:rPr>
          <w:rFonts w:hint="eastAsia" w:ascii="宋体" w:hAnsi="宋体" w:eastAsia="宋体" w:cs="宋体"/>
          <w:kern w:val="0"/>
          <w:sz w:val="24"/>
          <w:szCs w:val="24"/>
          <w:highlight w:val="none"/>
        </w:rPr>
        <w:t>投标人应按报价要求的内容及其他事项认真填报</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开标一览表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w:t>
      </w:r>
    </w:p>
    <w:p w14:paraId="607EDFC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14.4</w:t>
      </w:r>
      <w:r>
        <w:rPr>
          <w:rFonts w:hint="eastAsia" w:ascii="宋体" w:hAnsi="宋体" w:eastAsia="宋体" w:cs="宋体"/>
          <w:kern w:val="0"/>
          <w:sz w:val="24"/>
          <w:szCs w:val="24"/>
          <w:highlight w:val="none"/>
        </w:rPr>
        <w:t>投标人投报多包的，应对每包内容分别填报，不得拆包分项投标。</w:t>
      </w:r>
    </w:p>
    <w:p w14:paraId="5A5D68D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14.5</w:t>
      </w:r>
      <w:r>
        <w:rPr>
          <w:rFonts w:hint="eastAsia" w:ascii="宋体" w:hAnsi="宋体" w:eastAsia="宋体" w:cs="宋体"/>
          <w:kern w:val="0"/>
          <w:sz w:val="24"/>
          <w:szCs w:val="24"/>
          <w:highlight w:val="none"/>
        </w:rPr>
        <w:t>本次招标不接受可选择或可调整的投标和报价。</w:t>
      </w:r>
    </w:p>
    <w:p w14:paraId="172912A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14.6</w:t>
      </w:r>
      <w:r>
        <w:rPr>
          <w:rFonts w:hint="eastAsia" w:ascii="宋体" w:hAnsi="宋体" w:eastAsia="宋体" w:cs="宋体"/>
          <w:kern w:val="0"/>
          <w:sz w:val="24"/>
          <w:szCs w:val="24"/>
          <w:highlight w:val="none"/>
        </w:rPr>
        <w:t>本项目采用综合评分法，最低报价不能作为中标的保证。</w:t>
      </w:r>
    </w:p>
    <w:p w14:paraId="1C4E4116">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kern w:val="0"/>
          <w:sz w:val="24"/>
          <w:highlight w:val="none"/>
        </w:rPr>
      </w:pPr>
      <w:r>
        <w:rPr>
          <w:rFonts w:hint="eastAsia" w:ascii="宋体" w:hAnsi="宋体" w:cs="宋体"/>
          <w:b/>
          <w:bCs/>
          <w:kern w:val="0"/>
          <w:sz w:val="24"/>
          <w:highlight w:val="none"/>
        </w:rPr>
        <w:t>15.投标文件份数</w:t>
      </w:r>
    </w:p>
    <w:p w14:paraId="7C48F50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本次招标投标人须提交的投标文件份数详见投标人须知前附表第4项。</w:t>
      </w:r>
    </w:p>
    <w:p w14:paraId="271DB451">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sz w:val="24"/>
          <w:highlight w:val="none"/>
        </w:rPr>
      </w:pPr>
      <w:r>
        <w:rPr>
          <w:rFonts w:hint="eastAsia" w:ascii="宋体" w:hAnsi="宋体" w:cs="宋体"/>
          <w:b/>
          <w:bCs/>
          <w:sz w:val="24"/>
          <w:highlight w:val="none"/>
        </w:rPr>
        <w:t>16.投标文件的签署</w:t>
      </w:r>
    </w:p>
    <w:p w14:paraId="672D32E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16.1投标人提交投标文件中的各种证明、资料等的签署均应遵守本款规定。</w:t>
      </w:r>
    </w:p>
    <w:p w14:paraId="7DCF5B1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16.2本文件各种文件中涉及的“单位盖章”、“印章”、“公章”等均须使用与当事人名称全称相一致的</w:t>
      </w:r>
      <w:r>
        <w:rPr>
          <w:rFonts w:hint="eastAsia" w:ascii="宋体" w:hAnsi="宋体" w:cs="宋体"/>
          <w:b/>
          <w:bCs/>
          <w:sz w:val="24"/>
          <w:highlight w:val="none"/>
        </w:rPr>
        <w:t>投标人CA数字证书电子印章进行签署</w:t>
      </w:r>
      <w:r>
        <w:rPr>
          <w:rFonts w:hint="eastAsia" w:ascii="宋体" w:hAnsi="宋体" w:cs="宋体"/>
          <w:sz w:val="24"/>
          <w:highlight w:val="none"/>
        </w:rPr>
        <w:t>。否则将按投标无效处理。</w:t>
      </w:r>
    </w:p>
    <w:p w14:paraId="1E44EC5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16.3投标人应在投标文件中按照招标文件要求进行签署，未按要求签署的，将按投标无效处理。</w:t>
      </w:r>
    </w:p>
    <w:p w14:paraId="630D97D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16.4投标文件应字迹清楚、内容齐全、不得涂改或增删。如有修改和增删，必须加盖</w:t>
      </w:r>
      <w:r>
        <w:rPr>
          <w:rFonts w:hint="eastAsia" w:ascii="宋体" w:hAnsi="宋体" w:cs="宋体"/>
          <w:b/>
          <w:bCs/>
          <w:sz w:val="24"/>
          <w:highlight w:val="none"/>
        </w:rPr>
        <w:t>投标人CA数字证书电子印章</w:t>
      </w:r>
      <w:r>
        <w:rPr>
          <w:rFonts w:hint="eastAsia" w:ascii="宋体" w:hAnsi="宋体" w:cs="宋体"/>
          <w:sz w:val="24"/>
          <w:highlight w:val="none"/>
        </w:rPr>
        <w:t>。</w:t>
      </w:r>
    </w:p>
    <w:p w14:paraId="058A09C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sz w:val="24"/>
          <w:highlight w:val="none"/>
        </w:rPr>
        <w:t>16.5因投标文件字迹潦草或表达不清所引起的不利后果由投标人承担。</w:t>
      </w:r>
    </w:p>
    <w:p w14:paraId="77C169F5">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sz w:val="24"/>
          <w:highlight w:val="none"/>
        </w:rPr>
      </w:pPr>
      <w:r>
        <w:rPr>
          <w:rFonts w:hint="eastAsia" w:ascii="宋体" w:hAnsi="宋体" w:cs="宋体"/>
          <w:b/>
          <w:bCs/>
          <w:sz w:val="24"/>
          <w:highlight w:val="none"/>
        </w:rPr>
        <w:t>17.投标文件的补充、修改和撤回</w:t>
      </w:r>
    </w:p>
    <w:p w14:paraId="14F526F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17.1投标人在投标文件提交截止时间前，可以对投标文件进行补充、修改，补充、修改的内容作为投标文件的组成部分。补充、修改内容需在“山西政府采购平台”上传加密，未进行上传的补充、修改内容无效。</w:t>
      </w:r>
    </w:p>
    <w:p w14:paraId="63C6075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17.2补充、修改的内容应当按照招标文件要求签署、盖章，否则，按无效处理。</w:t>
      </w:r>
    </w:p>
    <w:p w14:paraId="64E0805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sz w:val="24"/>
          <w:highlight w:val="none"/>
        </w:rPr>
        <w:t>17.3在投标文件提交截止时间之后，投标人不得对其已上传的投标文件（含补充、修改）进行撤回。</w:t>
      </w:r>
    </w:p>
    <w:p w14:paraId="3DD94AD8">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b/>
          <w:bCs/>
          <w:sz w:val="24"/>
          <w:highlight w:val="none"/>
        </w:rPr>
      </w:pPr>
      <w:r>
        <w:rPr>
          <w:rFonts w:hint="eastAsia" w:ascii="宋体" w:hAnsi="宋体" w:cs="宋体"/>
          <w:b/>
          <w:bCs/>
          <w:sz w:val="24"/>
          <w:highlight w:val="none"/>
        </w:rPr>
        <w:t>18.投标文件的有效期</w:t>
      </w:r>
    </w:p>
    <w:p w14:paraId="100DD12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18.1本项目投标文件的有效期详见投标人须知前附表第8项。</w:t>
      </w:r>
      <w:r>
        <w:rPr>
          <w:rFonts w:hint="eastAsia" w:ascii="宋体" w:hAnsi="宋体" w:cs="宋体"/>
          <w:kern w:val="0"/>
          <w:sz w:val="24"/>
          <w:highlight w:val="none"/>
        </w:rPr>
        <w:t>有效期短于该规定期限的投标无效。</w:t>
      </w:r>
    </w:p>
    <w:p w14:paraId="2B5D75F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sz w:val="24"/>
          <w:highlight w:val="none"/>
        </w:rPr>
        <w:t>18.2如果出现特殊情况，采购人可要求投标人将投标文件有效期延长一段时间，这种要求和投标人的答复以书面形式进行。</w:t>
      </w:r>
    </w:p>
    <w:p w14:paraId="0722F3FF">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kern w:val="0"/>
          <w:sz w:val="24"/>
          <w:highlight w:val="none"/>
        </w:rPr>
      </w:pPr>
      <w:r>
        <w:rPr>
          <w:rFonts w:hint="eastAsia" w:ascii="宋体" w:hAnsi="宋体" w:cs="宋体"/>
          <w:b/>
          <w:bCs/>
          <w:sz w:val="24"/>
          <w:highlight w:val="none"/>
        </w:rPr>
        <w:t>19.投标文件上传截止时间、加密、解密及其他</w:t>
      </w:r>
    </w:p>
    <w:p w14:paraId="6F2E958F">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19.1投标文件上传截止时间</w:t>
      </w:r>
    </w:p>
    <w:p w14:paraId="207EABB8">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投标人应当在招标文件规定的投标文件提交截止时间前（详见投标人须知前附表第4项）使用</w:t>
      </w:r>
      <w:r>
        <w:rPr>
          <w:rFonts w:hint="eastAsia" w:ascii="宋体" w:hAnsi="宋体" w:cs="宋体"/>
          <w:sz w:val="24"/>
          <w:highlight w:val="none"/>
        </w:rPr>
        <w:t>CA数字证书</w:t>
      </w:r>
      <w:r>
        <w:rPr>
          <w:rFonts w:hint="eastAsia" w:ascii="宋体" w:hAnsi="宋体" w:cs="宋体"/>
          <w:kern w:val="0"/>
          <w:sz w:val="24"/>
          <w:highlight w:val="none"/>
        </w:rPr>
        <w:t>（单位、法人或个人）将投标文件及补充、修改文件（如有的话）在“山西政府采购平台”完成上传。</w:t>
      </w:r>
    </w:p>
    <w:p w14:paraId="3EB16882">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19.2投标文件加密</w:t>
      </w:r>
    </w:p>
    <w:p w14:paraId="1E9FE80D">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投标人应将上传的投标文件使用上传投标文件所用</w:t>
      </w:r>
      <w:r>
        <w:rPr>
          <w:rFonts w:hint="eastAsia" w:ascii="宋体" w:hAnsi="宋体" w:cs="宋体"/>
          <w:sz w:val="24"/>
          <w:highlight w:val="none"/>
        </w:rPr>
        <w:t>CA数字证书</w:t>
      </w:r>
      <w:r>
        <w:rPr>
          <w:rFonts w:hint="eastAsia" w:ascii="宋体" w:hAnsi="宋体" w:cs="宋体"/>
          <w:kern w:val="0"/>
          <w:sz w:val="24"/>
          <w:highlight w:val="none"/>
        </w:rPr>
        <w:t>（单位、法人或个人）进行加密。</w:t>
      </w:r>
    </w:p>
    <w:p w14:paraId="414E4001">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19.3投标文件解密及其他</w:t>
      </w:r>
    </w:p>
    <w:p w14:paraId="50B948C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kern w:val="0"/>
          <w:sz w:val="24"/>
          <w:highlight w:val="none"/>
        </w:rPr>
        <w:t>19.3.1投标人应在接到采购代理机构发出的解密指令信息后，使用加密投标文件时所用CA数字证书（单位、法人或个人）在招标文件规定的投标文件解密时间内（详见投标人须知前附表第4项）在“山西政府采购平台”对投标文件进行远程</w:t>
      </w:r>
      <w:r>
        <w:rPr>
          <w:rFonts w:hint="eastAsia" w:ascii="宋体" w:hAnsi="宋体" w:cs="宋体"/>
          <w:bCs/>
          <w:kern w:val="0"/>
          <w:sz w:val="24"/>
          <w:highlight w:val="none"/>
        </w:rPr>
        <w:t>解密。</w:t>
      </w:r>
    </w:p>
    <w:p w14:paraId="1F95CA39">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kern w:val="0"/>
          <w:sz w:val="24"/>
          <w:highlight w:val="none"/>
        </w:rPr>
        <w:t>19.3.2任何单位和个人不得在投标文件解密开始时间前解密投标文件。否则，后果由投标人自行承担责任。</w:t>
      </w:r>
    </w:p>
    <w:p w14:paraId="6448D701">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19.3.3由于投标人原因，未在规定时间内完成电子投标文件解密的，视为未提交投标文件，其投标无效。</w:t>
      </w:r>
    </w:p>
    <w:p w14:paraId="19DDDCE1">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bCs/>
          <w:kern w:val="0"/>
          <w:sz w:val="24"/>
          <w:highlight w:val="none"/>
        </w:rPr>
        <w:t>19.3.4解密截止时间后，投标人将无法对投标文件进行解密（除特殊情况下，启用备份文件的除外），代理机构不得以任何理由延长解密时间。</w:t>
      </w:r>
    </w:p>
    <w:p w14:paraId="765F5874">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19.3.5</w:t>
      </w:r>
      <w:r>
        <w:rPr>
          <w:rFonts w:hint="eastAsia" w:ascii="宋体" w:hAnsi="宋体" w:cs="宋体"/>
          <w:kern w:val="44"/>
          <w:sz w:val="24"/>
          <w:highlight w:val="none"/>
        </w:rPr>
        <w:t>解密过程中，采购人、采购代理机构相关工作人员有需要回避的情形的，应主动提出回避。</w:t>
      </w:r>
    </w:p>
    <w:p w14:paraId="2AED263C">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19.3.6解密结束后，投标人在“山西政府采购平台”系统中对其报价进行确认，采购代理机构打印报价结果，未进行确认的，视同认可其报价。</w:t>
      </w:r>
    </w:p>
    <w:p w14:paraId="24AAB3F7">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19.3.7在投标文件解密截止时间，</w:t>
      </w:r>
      <w:r>
        <w:rPr>
          <w:rFonts w:hint="eastAsia" w:ascii="宋体" w:hAnsi="宋体" w:cs="宋体"/>
          <w:bCs/>
          <w:kern w:val="0"/>
          <w:sz w:val="24"/>
          <w:highlight w:val="none"/>
        </w:rPr>
        <w:t>完成投标文件解密的</w:t>
      </w:r>
      <w:r>
        <w:rPr>
          <w:rFonts w:hint="eastAsia" w:ascii="宋体" w:hAnsi="宋体" w:cs="宋体"/>
          <w:kern w:val="0"/>
          <w:sz w:val="24"/>
          <w:highlight w:val="none"/>
        </w:rPr>
        <w:t>投标人不足法定家数时，不得进行下一步评审程序。</w:t>
      </w:r>
    </w:p>
    <w:p w14:paraId="402F1D6D">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kern w:val="0"/>
          <w:sz w:val="24"/>
          <w:highlight w:val="none"/>
        </w:rPr>
        <w:t>19.3.8采购代理机构打印报价结果，随采购文件一并存档。</w:t>
      </w:r>
    </w:p>
    <w:p w14:paraId="06B53B19">
      <w:pPr>
        <w:keepNext w:val="0"/>
        <w:keepLines w:val="0"/>
        <w:pageBreakBefore w:val="0"/>
        <w:widowControl w:val="0"/>
        <w:kinsoku/>
        <w:overflowPunct/>
        <w:bidi w:val="0"/>
        <w:adjustRightInd w:val="0"/>
        <w:snapToGrid w:val="0"/>
        <w:spacing w:line="360" w:lineRule="auto"/>
        <w:ind w:firstLine="482" w:firstLineChars="200"/>
        <w:outlineLvl w:val="1"/>
        <w:rPr>
          <w:rFonts w:ascii="宋体" w:hAnsi="宋体" w:cs="宋体"/>
          <w:b/>
          <w:color w:val="000000" w:themeColor="text1"/>
          <w:kern w:val="0"/>
          <w:sz w:val="24"/>
          <w:highlight w:val="none"/>
          <w14:textFill>
            <w14:solidFill>
              <w14:schemeClr w14:val="tx1"/>
            </w14:solidFill>
          </w14:textFill>
        </w:rPr>
      </w:pPr>
      <w:bookmarkStart w:id="22" w:name="_Toc180347455"/>
      <w:r>
        <w:rPr>
          <w:rFonts w:hint="eastAsia" w:ascii="宋体" w:hAnsi="宋体" w:cs="宋体"/>
          <w:b/>
          <w:color w:val="000000" w:themeColor="text1"/>
          <w:kern w:val="0"/>
          <w:sz w:val="24"/>
          <w:highlight w:val="none"/>
          <w14:textFill>
            <w14:solidFill>
              <w14:schemeClr w14:val="tx1"/>
            </w14:solidFill>
          </w14:textFill>
        </w:rPr>
        <w:t>四、投标保证金</w:t>
      </w:r>
      <w:bookmarkEnd w:id="22"/>
    </w:p>
    <w:p w14:paraId="50AB843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bookmarkStart w:id="23" w:name="_Toc2122"/>
      <w:r>
        <w:rPr>
          <w:rFonts w:hint="eastAsia" w:ascii="宋体" w:hAnsi="宋体" w:cs="宋体"/>
          <w:color w:val="000000" w:themeColor="text1"/>
          <w:kern w:val="0"/>
          <w:sz w:val="24"/>
          <w:highlight w:val="none"/>
          <w14:textFill>
            <w14:solidFill>
              <w14:schemeClr w14:val="tx1"/>
            </w14:solidFill>
          </w14:textFill>
        </w:rPr>
        <w:t>20.1投标人应提交的投标保证金金额和提交方式详见前附表第5条</w:t>
      </w:r>
      <w:r>
        <w:rPr>
          <w:rFonts w:hint="eastAsia" w:ascii="宋体" w:hAnsi="宋体" w:cs="宋体"/>
          <w:b/>
          <w:bCs/>
          <w:color w:val="000000" w:themeColor="text1"/>
          <w:kern w:val="0"/>
          <w:sz w:val="24"/>
          <w:highlight w:val="none"/>
          <w14:textFill>
            <w14:solidFill>
              <w14:schemeClr w14:val="tx1"/>
            </w14:solidFill>
          </w14:textFill>
        </w:rPr>
        <w:t>（如有，如第5条未要求金额和提交方式的，则不需要提交投标保证金）</w:t>
      </w:r>
      <w:r>
        <w:rPr>
          <w:rFonts w:hint="eastAsia" w:ascii="宋体" w:hAnsi="宋体" w:cs="宋体"/>
          <w:color w:val="000000" w:themeColor="text1"/>
          <w:kern w:val="0"/>
          <w:sz w:val="24"/>
          <w:highlight w:val="none"/>
          <w14:textFill>
            <w14:solidFill>
              <w14:schemeClr w14:val="tx1"/>
            </w14:solidFill>
          </w14:textFill>
        </w:rPr>
        <w:t>。未按要求提交投标保证金的，投标无效。</w:t>
      </w:r>
    </w:p>
    <w:p w14:paraId="2EC914B3">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20.2投标人在投标文件解密时间内未完成投标文件解密的，采购代理机构应当自收到投标人书面申请之日起5个工作日内，退还已收取的投标保证金，但因投标人自身原因导致无法及时退还的除外。</w:t>
      </w:r>
    </w:p>
    <w:p w14:paraId="422D7EA5">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20.3采购代理机构应当自中标通知书发出之日起5个工作日内退还未中标投标人的投标保证金，自采购合同签订之日起5个工作日内退还中标人的投标保证金。但因投标人自身原因导致无法及时退还的除外。</w:t>
      </w:r>
    </w:p>
    <w:p w14:paraId="5897B4B0">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20.4有下列情形之一的，投标保证金不予退还：</w:t>
      </w:r>
    </w:p>
    <w:p w14:paraId="4E2C3C73">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20.4.1投标人在投标文件中提供虚假材料，谋取成交的；</w:t>
      </w:r>
    </w:p>
    <w:p w14:paraId="020B741A">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20.4.2除因不可抗力或招标文件认可的情形外，中标人不与采购人签订合同的；</w:t>
      </w:r>
    </w:p>
    <w:p w14:paraId="3866A244">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20.4.3投标人与采购人、其他投标人或者代理机构恶意串通的；</w:t>
      </w:r>
    </w:p>
    <w:p w14:paraId="15C1BA7E">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20.4.4投标有效期内撤回投标文件的；</w:t>
      </w:r>
    </w:p>
    <w:p w14:paraId="3358A619">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20.4.5在投标过程中，被发现有违反法律和纪律的行为的；</w:t>
      </w:r>
    </w:p>
    <w:p w14:paraId="0120F62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20.4.6在投标过程中无正当理由，扰乱开评标现场秩序的等情形。</w:t>
      </w:r>
    </w:p>
    <w:p w14:paraId="4901B857">
      <w:pPr>
        <w:keepNext w:val="0"/>
        <w:keepLines w:val="0"/>
        <w:pageBreakBefore w:val="0"/>
        <w:widowControl w:val="0"/>
        <w:kinsoku/>
        <w:overflowPunct/>
        <w:bidi w:val="0"/>
        <w:adjustRightInd w:val="0"/>
        <w:snapToGrid w:val="0"/>
        <w:spacing w:line="360" w:lineRule="auto"/>
        <w:ind w:firstLine="482" w:firstLineChars="200"/>
        <w:outlineLvl w:val="1"/>
        <w:rPr>
          <w:rFonts w:ascii="宋体" w:hAnsi="宋体" w:cs="宋体"/>
          <w:b/>
          <w:color w:val="000000" w:themeColor="text1"/>
          <w:kern w:val="0"/>
          <w:sz w:val="24"/>
          <w:highlight w:val="none"/>
          <w14:textFill>
            <w14:solidFill>
              <w14:schemeClr w14:val="tx1"/>
            </w14:solidFill>
          </w14:textFill>
        </w:rPr>
      </w:pPr>
      <w:bookmarkStart w:id="24" w:name="_Toc180347456"/>
      <w:r>
        <w:rPr>
          <w:rFonts w:hint="eastAsia" w:ascii="宋体" w:hAnsi="宋体" w:cs="宋体"/>
          <w:b/>
          <w:color w:val="000000" w:themeColor="text1"/>
          <w:kern w:val="0"/>
          <w:sz w:val="24"/>
          <w:highlight w:val="none"/>
          <w14:textFill>
            <w14:solidFill>
              <w14:schemeClr w14:val="tx1"/>
            </w14:solidFill>
          </w14:textFill>
        </w:rPr>
        <w:t>五、资格审查小组、评标委员会组成与职责</w:t>
      </w:r>
      <w:bookmarkEnd w:id="23"/>
      <w:bookmarkEnd w:id="24"/>
    </w:p>
    <w:p w14:paraId="16F5680E">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21.资格审查小组和评标委员会组成</w:t>
      </w:r>
    </w:p>
    <w:p w14:paraId="7E9396DE">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21.1资格审查小组组成</w:t>
      </w:r>
    </w:p>
    <w:p w14:paraId="1AA5817F">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根据相关法律法规和本招标文件的规定，资格审查小组由采购人授权采购代理机构</w:t>
      </w:r>
      <w:r>
        <w:rPr>
          <w:rFonts w:hint="eastAsia" w:ascii="宋体" w:hAnsi="宋体" w:cs="宋体"/>
          <w:bCs/>
          <w:color w:val="000000" w:themeColor="text1"/>
          <w:kern w:val="0"/>
          <w:sz w:val="24"/>
          <w:highlight w:val="none"/>
          <w14:textFill>
            <w14:solidFill>
              <w14:schemeClr w14:val="tx1"/>
            </w14:solidFill>
          </w14:textFill>
        </w:rPr>
        <w:t>人员组成</w:t>
      </w:r>
      <w:r>
        <w:rPr>
          <w:rFonts w:hint="eastAsia" w:ascii="宋体" w:hAnsi="宋体" w:cs="宋体"/>
          <w:color w:val="000000" w:themeColor="text1"/>
          <w:kern w:val="0"/>
          <w:sz w:val="24"/>
          <w:highlight w:val="none"/>
          <w14:textFill>
            <w14:solidFill>
              <w14:schemeClr w14:val="tx1"/>
            </w14:solidFill>
          </w14:textFill>
        </w:rPr>
        <w:t>。</w:t>
      </w:r>
    </w:p>
    <w:p w14:paraId="2E1B1964">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21.2评标委员会组成</w:t>
      </w:r>
    </w:p>
    <w:p w14:paraId="41BF7F15">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21.2.1采购代理机构根据相关法律法规和本招标文件的规定，结合本招标项目的特点组建评标委员会，评标委员会由采购人代表和评审专家共五人以上单数组成，其中评审专家不得少于成员总数的三分之二。</w:t>
      </w:r>
    </w:p>
    <w:p w14:paraId="7DC55EEE">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21.2.2</w:t>
      </w:r>
      <w:r>
        <w:rPr>
          <w:rFonts w:hint="eastAsia" w:ascii="宋体" w:hAnsi="宋体" w:cs="宋体"/>
          <w:sz w:val="24"/>
          <w:highlight w:val="none"/>
        </w:rPr>
        <w:t>采购人代表不得以评审专家身份参加本部门或本单位采购项目的评审，</w:t>
      </w:r>
      <w:r>
        <w:rPr>
          <w:rFonts w:hint="eastAsia" w:ascii="宋体" w:hAnsi="宋体" w:cs="宋体"/>
          <w:kern w:val="0"/>
          <w:sz w:val="24"/>
          <w:highlight w:val="none"/>
        </w:rPr>
        <w:t>本条第21.5的情形</w:t>
      </w:r>
      <w:r>
        <w:rPr>
          <w:rFonts w:hint="eastAsia" w:ascii="宋体" w:hAnsi="宋体" w:cs="宋体"/>
          <w:sz w:val="24"/>
          <w:highlight w:val="none"/>
        </w:rPr>
        <w:t>除外。采购代理机构人员不得参加本机构代理的采购项目的评审。</w:t>
      </w:r>
    </w:p>
    <w:p w14:paraId="7E536A8D">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21.2.3评标委员会成员名单在评审结果公告前应当保密。</w:t>
      </w:r>
    </w:p>
    <w:p w14:paraId="25C9CFF0">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21.2.4评审专家由采购代理机构从山西政府采购评审专家库中，通过随机抽取方式产生。</w:t>
      </w:r>
    </w:p>
    <w:p w14:paraId="06148C9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21.2.5对技术复杂、专业性强的采购项目，通过随机方式难以确定合适评审专家的，</w:t>
      </w:r>
      <w:r>
        <w:rPr>
          <w:rFonts w:hint="eastAsia" w:ascii="宋体" w:hAnsi="宋体" w:cs="宋体"/>
          <w:bCs/>
          <w:kern w:val="0"/>
          <w:sz w:val="24"/>
          <w:highlight w:val="none"/>
        </w:rPr>
        <w:t>经主管预算单位同意，采购人可以自行选定相应专业领域的评审专家。</w:t>
      </w:r>
    </w:p>
    <w:p w14:paraId="5075FFB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21.2.6评审中因评审专家缺席、回避或者健康等特殊原因，导致评标委员会成员组成不符合相关规定的，代理机构应当补足后继续评审。被更换的评标委员会成员所做出的评审意见无效。</w:t>
      </w:r>
    </w:p>
    <w:p w14:paraId="2A1AE8E1">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21.2.7无法及时补足评标委员会成员时，代理机构应当停止评审活动，封存所有投标文件及评审资料，重新组建评标委员会进行评审。原评标委员会所做出的评审意见无效。</w:t>
      </w:r>
    </w:p>
    <w:p w14:paraId="32254F9E">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kern w:val="0"/>
          <w:sz w:val="24"/>
          <w:highlight w:val="none"/>
        </w:rPr>
        <w:t>21.2.8采购代理机构应当将变更、重新组建评标委员会的情况予以记录，并随招标文件一并存档。</w:t>
      </w:r>
    </w:p>
    <w:p w14:paraId="1B21343C">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kern w:val="0"/>
          <w:sz w:val="24"/>
          <w:highlight w:val="none"/>
        </w:rPr>
        <w:t>22.</w:t>
      </w:r>
      <w:r>
        <w:rPr>
          <w:rFonts w:hint="eastAsia" w:ascii="宋体" w:hAnsi="宋体" w:cs="宋体"/>
          <w:b/>
          <w:color w:val="000000" w:themeColor="text1"/>
          <w:kern w:val="0"/>
          <w:sz w:val="24"/>
          <w:highlight w:val="none"/>
          <w14:textFill>
            <w14:solidFill>
              <w14:schemeClr w14:val="tx1"/>
            </w14:solidFill>
          </w14:textFill>
        </w:rPr>
        <w:t>资格审查小组、评标委员会职责</w:t>
      </w:r>
    </w:p>
    <w:p w14:paraId="4A262450">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22.1资格审查小组职责</w:t>
      </w:r>
    </w:p>
    <w:p w14:paraId="78B41E37">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资格审查小组按照本项目招标文件第四章“资格审查内容及标准”对投标人的资格证明文件的有效性、符合性进行审查。</w:t>
      </w:r>
    </w:p>
    <w:p w14:paraId="09EBAF56">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22.2评标委员会职责</w:t>
      </w:r>
    </w:p>
    <w:p w14:paraId="3D248F56">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22.2.1审查、评价投标文件是否符合招标文件的商务、技术等实质性要求；</w:t>
      </w:r>
    </w:p>
    <w:p w14:paraId="69705E30">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22.2.2要求投标人对投标文件有关事项作出澄清或者说明；</w:t>
      </w:r>
    </w:p>
    <w:p w14:paraId="34755E4D">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22.2.3</w:t>
      </w:r>
      <w:r>
        <w:rPr>
          <w:rFonts w:hint="eastAsia" w:ascii="宋体" w:hAnsi="宋体" w:cs="宋体"/>
          <w:bCs/>
          <w:color w:val="000000" w:themeColor="text1"/>
          <w:kern w:val="0"/>
          <w:sz w:val="24"/>
          <w:highlight w:val="none"/>
          <w:lang w:val="en-US" w:eastAsia="zh-CN"/>
          <w14:textFill>
            <w14:solidFill>
              <w14:schemeClr w14:val="tx1"/>
            </w14:solidFill>
          </w14:textFill>
        </w:rPr>
        <w:t>严格按照招标文件中确定的评标办法与评审标准</w:t>
      </w:r>
      <w:r>
        <w:rPr>
          <w:rFonts w:hint="eastAsia" w:ascii="宋体" w:hAnsi="宋体" w:cs="宋体"/>
          <w:bCs/>
          <w:color w:val="000000" w:themeColor="text1"/>
          <w:kern w:val="0"/>
          <w:sz w:val="24"/>
          <w:highlight w:val="none"/>
          <w14:textFill>
            <w14:solidFill>
              <w14:schemeClr w14:val="tx1"/>
            </w14:solidFill>
          </w14:textFill>
        </w:rPr>
        <w:t>对</w:t>
      </w:r>
      <w:r>
        <w:rPr>
          <w:rFonts w:hint="eastAsia" w:ascii="宋体" w:hAnsi="宋体" w:cs="宋体"/>
          <w:bCs/>
          <w:color w:val="000000" w:themeColor="text1"/>
          <w:kern w:val="0"/>
          <w:sz w:val="24"/>
          <w:highlight w:val="none"/>
          <w:lang w:val="en-US" w:eastAsia="zh-CN"/>
          <w14:textFill>
            <w14:solidFill>
              <w14:schemeClr w14:val="tx1"/>
            </w14:solidFill>
          </w14:textFill>
        </w:rPr>
        <w:t>各投标人的</w:t>
      </w:r>
      <w:r>
        <w:rPr>
          <w:rFonts w:hint="eastAsia" w:ascii="宋体" w:hAnsi="宋体" w:cs="宋体"/>
          <w:bCs/>
          <w:color w:val="000000" w:themeColor="text1"/>
          <w:kern w:val="0"/>
          <w:sz w:val="24"/>
          <w:highlight w:val="none"/>
          <w14:textFill>
            <w14:solidFill>
              <w14:schemeClr w14:val="tx1"/>
            </w14:solidFill>
          </w14:textFill>
        </w:rPr>
        <w:t>投标文件进行比较和评价；</w:t>
      </w:r>
    </w:p>
    <w:p w14:paraId="269A6E2A">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22.2.4</w:t>
      </w:r>
      <w:r>
        <w:rPr>
          <w:rFonts w:hint="eastAsia" w:ascii="宋体" w:hAnsi="宋体" w:cs="宋体"/>
          <w:bCs/>
          <w:color w:val="000000" w:themeColor="text1"/>
          <w:kern w:val="0"/>
          <w:sz w:val="24"/>
          <w:highlight w:val="none"/>
          <w:lang w:val="en-US" w:eastAsia="zh-CN"/>
          <w14:textFill>
            <w14:solidFill>
              <w14:schemeClr w14:val="tx1"/>
            </w14:solidFill>
          </w14:textFill>
        </w:rPr>
        <w:t>严格按照本招标文件第31条规定推荐中标候选人名单、第32条规定</w:t>
      </w:r>
      <w:r>
        <w:rPr>
          <w:rFonts w:hint="eastAsia" w:ascii="宋体" w:hAnsi="宋体" w:cs="宋体"/>
          <w:bCs/>
          <w:color w:val="000000" w:themeColor="text1"/>
          <w:kern w:val="0"/>
          <w:sz w:val="24"/>
          <w:highlight w:val="none"/>
          <w14:textFill>
            <w14:solidFill>
              <w14:schemeClr w14:val="tx1"/>
            </w14:solidFill>
          </w14:textFill>
        </w:rPr>
        <w:t>确定中标人</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第33条要求编写评标报告</w:t>
      </w:r>
      <w:r>
        <w:rPr>
          <w:rFonts w:hint="eastAsia" w:ascii="宋体" w:hAnsi="宋体" w:cs="宋体"/>
          <w:bCs/>
          <w:color w:val="000000" w:themeColor="text1"/>
          <w:kern w:val="0"/>
          <w:sz w:val="24"/>
          <w:highlight w:val="none"/>
          <w14:textFill>
            <w14:solidFill>
              <w14:schemeClr w14:val="tx1"/>
            </w14:solidFill>
          </w14:textFill>
        </w:rPr>
        <w:t>；</w:t>
      </w:r>
    </w:p>
    <w:p w14:paraId="4A03EC29">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22.2.5向采购人、采购代理机构或者有关部门报告评标中发现的违法行为。</w:t>
      </w:r>
    </w:p>
    <w:p w14:paraId="415900B3">
      <w:pPr>
        <w:keepNext w:val="0"/>
        <w:keepLines w:val="0"/>
        <w:pageBreakBefore w:val="0"/>
        <w:widowControl w:val="0"/>
        <w:kinsoku/>
        <w:overflowPunct/>
        <w:bidi w:val="0"/>
        <w:adjustRightInd w:val="0"/>
        <w:snapToGrid w:val="0"/>
        <w:spacing w:line="360" w:lineRule="auto"/>
        <w:ind w:firstLine="482" w:firstLineChars="200"/>
        <w:outlineLvl w:val="1"/>
        <w:rPr>
          <w:rFonts w:ascii="宋体" w:hAnsi="宋体" w:cs="宋体"/>
          <w:b/>
          <w:color w:val="000000" w:themeColor="text1"/>
          <w:kern w:val="0"/>
          <w:sz w:val="24"/>
          <w:highlight w:val="none"/>
          <w14:textFill>
            <w14:solidFill>
              <w14:schemeClr w14:val="tx1"/>
            </w14:solidFill>
          </w14:textFill>
        </w:rPr>
      </w:pPr>
      <w:bookmarkStart w:id="25" w:name="_Toc180347457"/>
      <w:r>
        <w:rPr>
          <w:rFonts w:hint="eastAsia" w:ascii="宋体" w:hAnsi="宋体" w:cs="宋体"/>
          <w:b/>
          <w:color w:val="000000" w:themeColor="text1"/>
          <w:kern w:val="0"/>
          <w:sz w:val="24"/>
          <w:highlight w:val="none"/>
          <w14:textFill>
            <w14:solidFill>
              <w14:schemeClr w14:val="tx1"/>
            </w14:solidFill>
          </w14:textFill>
        </w:rPr>
        <w:t>六、代理机构的职责</w:t>
      </w:r>
      <w:bookmarkEnd w:id="25"/>
    </w:p>
    <w:p w14:paraId="2D2144A4">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23.采购代理机构负责组织评标工作，并履行下列职责：</w:t>
      </w:r>
    </w:p>
    <w:p w14:paraId="72578FD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23.1核对评审专家身份和采购人代表授权函，对评审专家在政府采购活动中的职责履行情况予以记录，并及时将有关违法违规行为向财政部门报告；</w:t>
      </w:r>
    </w:p>
    <w:p w14:paraId="37A9816D">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23.2宣布评标纪律；</w:t>
      </w:r>
    </w:p>
    <w:p w14:paraId="3FDFC95B">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23.3公布投标人名单，告知评审专家应当回避的情形；</w:t>
      </w:r>
    </w:p>
    <w:p w14:paraId="3CB7863B">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23.4组织评标委员会推选评标组长，采购人代表不得担任组长；</w:t>
      </w:r>
    </w:p>
    <w:p w14:paraId="1D74FE03">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23.5在评标期间采取必要的通讯管理措施，保证评标活动不受外界干扰；</w:t>
      </w:r>
    </w:p>
    <w:p w14:paraId="4C73A954">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23.6根据评标委员会的要求介绍政府采购相关政策法规、招标文件；</w:t>
      </w:r>
    </w:p>
    <w:p w14:paraId="5C1D9007">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23.7维护评标秩序，监督评标委员会依照招标文件规定的评标程序、方法和标准进行独立评审，及时制止和纠正采购人代表、评审专家的倾向性言论或者违法违规行为；</w:t>
      </w:r>
    </w:p>
    <w:p w14:paraId="20DEE115">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23.8核对评标结果，要求评标委员会复核或者书面说明理由，评标委员会拒绝的，应予记录并向本级财政部门报告；</w:t>
      </w:r>
    </w:p>
    <w:p w14:paraId="3702CDD8">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23.9处理与评标有关的其他事项。</w:t>
      </w:r>
    </w:p>
    <w:p w14:paraId="4D365F14">
      <w:pPr>
        <w:keepNext w:val="0"/>
        <w:keepLines w:val="0"/>
        <w:pageBreakBefore w:val="0"/>
        <w:widowControl w:val="0"/>
        <w:kinsoku/>
        <w:overflowPunct/>
        <w:bidi w:val="0"/>
        <w:adjustRightInd w:val="0"/>
        <w:snapToGrid w:val="0"/>
        <w:spacing w:line="360" w:lineRule="auto"/>
        <w:ind w:firstLine="482" w:firstLineChars="200"/>
        <w:outlineLvl w:val="1"/>
        <w:rPr>
          <w:rFonts w:hint="eastAsia" w:ascii="宋体" w:hAnsi="宋体" w:cs="宋体"/>
          <w:b/>
          <w:color w:val="000000" w:themeColor="text1"/>
          <w:kern w:val="0"/>
          <w:sz w:val="24"/>
          <w:highlight w:val="none"/>
          <w14:textFill>
            <w14:solidFill>
              <w14:schemeClr w14:val="tx1"/>
            </w14:solidFill>
          </w14:textFill>
        </w:rPr>
      </w:pPr>
      <w:bookmarkStart w:id="26" w:name="_Toc180347458"/>
      <w:bookmarkStart w:id="27" w:name="_Toc5453"/>
      <w:bookmarkStart w:id="28" w:name="_Toc30458"/>
      <w:r>
        <w:rPr>
          <w:rFonts w:hint="eastAsia" w:ascii="宋体" w:hAnsi="宋体" w:cs="宋体"/>
          <w:b/>
          <w:color w:val="000000" w:themeColor="text1"/>
          <w:kern w:val="0"/>
          <w:sz w:val="24"/>
          <w:highlight w:val="none"/>
          <w14:textFill>
            <w14:solidFill>
              <w14:schemeClr w14:val="tx1"/>
            </w14:solidFill>
          </w14:textFill>
        </w:rPr>
        <w:t>七、评审和评定程序与要求</w:t>
      </w:r>
      <w:bookmarkEnd w:id="26"/>
    </w:p>
    <w:bookmarkEnd w:id="27"/>
    <w:bookmarkEnd w:id="28"/>
    <w:p w14:paraId="6F84B45E">
      <w:pPr>
        <w:keepNext w:val="0"/>
        <w:keepLines w:val="0"/>
        <w:pageBreakBefore w:val="0"/>
        <w:widowControl w:val="0"/>
        <w:tabs>
          <w:tab w:val="left" w:pos="0"/>
          <w:tab w:val="left" w:pos="276"/>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本项目为多包，资格审查小组和评标委员会应按包顺序按招标文件规定的评审、评定程序与要求进行。评审、评定过程中应当按照少数服从多数的原则做出结论。持不同意见的资格审查小组和评标委员会小组成员应当在资格证明文件评审报告和评标报告上签署不同意见及理由，否则视为同意。</w:t>
      </w:r>
    </w:p>
    <w:p w14:paraId="1AFA4153">
      <w:pPr>
        <w:keepNext w:val="0"/>
        <w:keepLines w:val="0"/>
        <w:pageBreakBefore w:val="0"/>
        <w:widowControl w:val="0"/>
        <w:tabs>
          <w:tab w:val="left" w:pos="0"/>
          <w:tab w:val="left" w:pos="276"/>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24.资格证明文件的评审</w:t>
      </w:r>
    </w:p>
    <w:p w14:paraId="3E1E4537">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24.1解密结束后，资格审查小组依法按照招标文件中规定的</w:t>
      </w:r>
      <w:r>
        <w:rPr>
          <w:rFonts w:hint="eastAsia" w:ascii="宋体" w:hAnsi="宋体" w:cs="宋体"/>
          <w:kern w:val="0"/>
          <w:sz w:val="24"/>
          <w:highlight w:val="none"/>
        </w:rPr>
        <w:t>“评审方法和评审标准”</w:t>
      </w:r>
      <w:r>
        <w:rPr>
          <w:rFonts w:hint="eastAsia" w:ascii="宋体" w:hAnsi="宋体" w:cs="宋体"/>
          <w:bCs/>
          <w:color w:val="000000" w:themeColor="text1"/>
          <w:kern w:val="0"/>
          <w:sz w:val="24"/>
          <w:highlight w:val="none"/>
          <w14:textFill>
            <w14:solidFill>
              <w14:schemeClr w14:val="tx1"/>
            </w14:solidFill>
          </w14:textFill>
        </w:rPr>
        <w:t>内容对投标人的资格证明文件的有效性、符合性进行审查，以确定各投标人是否符合招标文件要求的合格投标人。合格投标人不足3家的，不得进入商务技术评审。</w:t>
      </w:r>
    </w:p>
    <w:p w14:paraId="27207631">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24.2资格审查人员对投标文件的判定，只依据投标人的资格证明文件内容本身（需要进行网上查询核实的证明材料除外）。</w:t>
      </w:r>
    </w:p>
    <w:p w14:paraId="32C339E1">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24.3对</w:t>
      </w:r>
      <w:r>
        <w:rPr>
          <w:rFonts w:ascii="Times New Roman" w:hAnsi="Times New Roman"/>
          <w:kern w:val="0"/>
          <w:sz w:val="24"/>
          <w:highlight w:val="none"/>
        </w:rPr>
        <w:t>投标人须知前附表第5项</w:t>
      </w:r>
      <w:r>
        <w:rPr>
          <w:rFonts w:hint="eastAsia" w:ascii="宋体" w:hAnsi="宋体" w:cs="宋体"/>
          <w:color w:val="000000" w:themeColor="text1"/>
          <w:kern w:val="0"/>
          <w:sz w:val="24"/>
          <w:highlight w:val="none"/>
          <w14:textFill>
            <w14:solidFill>
              <w14:schemeClr w14:val="tx1"/>
            </w14:solidFill>
          </w14:textFill>
        </w:rPr>
        <w:t>中有资格证明文件不合格的或未对其要求做出明确响应的，</w:t>
      </w:r>
      <w:r>
        <w:rPr>
          <w:rFonts w:hint="eastAsia" w:ascii="宋体" w:hAnsi="宋体" w:cs="宋体"/>
          <w:b/>
          <w:color w:val="000000" w:themeColor="text1"/>
          <w:kern w:val="0"/>
          <w:sz w:val="24"/>
          <w:highlight w:val="none"/>
          <w14:textFill>
            <w14:solidFill>
              <w14:schemeClr w14:val="tx1"/>
            </w14:solidFill>
          </w14:textFill>
        </w:rPr>
        <w:t>将作无效投标处理。</w:t>
      </w:r>
    </w:p>
    <w:p w14:paraId="005D497E">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24.4为保证投标的公开、公正、公平，投标人资格证明文件若有缺失或不符，开标后不允许补正或修正，且投标无效。</w:t>
      </w:r>
    </w:p>
    <w:p w14:paraId="6E25DD7D">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24.5对模糊不清的或存在疑问的资格证明文件，在不影响投标有效性的前提下，须经投标人进行澄清或说明。</w:t>
      </w:r>
    </w:p>
    <w:p w14:paraId="09947D41">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24.6评审结束，审查结果意见不一致时，遵循少数服从多数的原则，确定各投标人是否具备投标资格。未实质上响应招标文件要求的投标文件按投标无效处理，资格审查小组应当告知有关投标人。</w:t>
      </w:r>
    </w:p>
    <w:p w14:paraId="18935732">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24.7资格审查小组对投标人的资格证明文件进行审查、编写资格证明文件评审报告，并签字确认，与采购文件一并存档。</w:t>
      </w:r>
    </w:p>
    <w:p w14:paraId="046A13EA">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25.招标文件的评审</w:t>
      </w:r>
    </w:p>
    <w:p w14:paraId="7DA623CC">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25.1在评审程序开始前，评标委员会成员首先对招标文件进行合法性、合规性、合理性审查。</w:t>
      </w:r>
    </w:p>
    <w:p w14:paraId="60F52E20">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25.2经审查，如招标文件中存在下列情形导致评审工作无法进行，评标委员会应当向采购代理机构做出书面说明，停止本项目评审活动。采购代理机构应当修改招标文件后，重新开展采购活动。</w:t>
      </w:r>
    </w:p>
    <w:p w14:paraId="569C47E6">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A.存在违反或违背《中华人民共和国政府采购法》、《中华人民共和国政府采购法实施条例》、《政府采购货物和服务招标投标管理办法》等法律法规政策的条款；</w:t>
      </w:r>
    </w:p>
    <w:p w14:paraId="1BA5F494">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B.存在不符合国家有关强制性规定或政府采购政策性要求的内容；</w:t>
      </w:r>
    </w:p>
    <w:p w14:paraId="1F5EA1DE">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C.商务技术要求存在歧视性条款；</w:t>
      </w:r>
    </w:p>
    <w:p w14:paraId="372EB824">
      <w:pPr>
        <w:keepNext w:val="0"/>
        <w:keepLines w:val="0"/>
        <w:pageBreakBefore w:val="0"/>
        <w:widowControl w:val="0"/>
        <w:tabs>
          <w:tab w:val="left" w:pos="567"/>
        </w:tabs>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D.评审因素存在倾向性、歧义；</w:t>
      </w:r>
    </w:p>
    <w:p w14:paraId="6862417D">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kern w:val="0"/>
          <w:sz w:val="24"/>
          <w:highlight w:val="none"/>
        </w:rPr>
        <w:t>E.招标文件存在重大缺陷等其他影响公平、公正的内容。</w:t>
      </w:r>
    </w:p>
    <w:p w14:paraId="255D51A2">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kern w:val="0"/>
          <w:sz w:val="24"/>
          <w:highlight w:val="none"/>
        </w:rPr>
      </w:pPr>
      <w:r>
        <w:rPr>
          <w:rFonts w:hint="eastAsia" w:ascii="宋体" w:hAnsi="宋体" w:cs="宋体"/>
          <w:color w:val="000000" w:themeColor="text1"/>
          <w:kern w:val="0"/>
          <w:sz w:val="24"/>
          <w:highlight w:val="none"/>
          <w14:textFill>
            <w14:solidFill>
              <w14:schemeClr w14:val="tx1"/>
            </w14:solidFill>
          </w14:textFill>
        </w:rPr>
        <w:t>25.3</w:t>
      </w:r>
      <w:r>
        <w:rPr>
          <w:rFonts w:hint="eastAsia" w:ascii="宋体" w:hAnsi="宋体" w:cs="宋体"/>
          <w:sz w:val="24"/>
          <w:highlight w:val="none"/>
        </w:rPr>
        <w:t>对招标文件审查无异议的，评标委员会成员应当按照客观、公正、审慎的原则，根据</w:t>
      </w:r>
      <w:r>
        <w:rPr>
          <w:rFonts w:hint="eastAsia" w:ascii="宋体" w:hAnsi="宋体" w:cs="宋体"/>
          <w:kern w:val="0"/>
          <w:sz w:val="24"/>
          <w:highlight w:val="none"/>
        </w:rPr>
        <w:t>招标文件中规定的“评审方法和评审标准”，</w:t>
      </w:r>
      <w:r>
        <w:rPr>
          <w:rFonts w:hint="eastAsia" w:ascii="宋体" w:hAnsi="宋体" w:cs="宋体"/>
          <w:sz w:val="24"/>
          <w:highlight w:val="none"/>
        </w:rPr>
        <w:t>对所有参加投标的投标人提供的投标文件</w:t>
      </w:r>
      <w:r>
        <w:rPr>
          <w:rFonts w:hint="eastAsia" w:ascii="宋体" w:hAnsi="宋体" w:cs="宋体"/>
          <w:b/>
          <w:bCs/>
          <w:kern w:val="0"/>
          <w:sz w:val="24"/>
          <w:highlight w:val="none"/>
        </w:rPr>
        <w:t>独立</w:t>
      </w:r>
      <w:r>
        <w:rPr>
          <w:rFonts w:hint="eastAsia" w:ascii="宋体" w:hAnsi="宋体" w:cs="宋体"/>
          <w:sz w:val="24"/>
          <w:highlight w:val="none"/>
        </w:rPr>
        <w:t>进行符合性审查。</w:t>
      </w:r>
    </w:p>
    <w:p w14:paraId="54039794">
      <w:pPr>
        <w:keepNext w:val="0"/>
        <w:keepLines w:val="0"/>
        <w:pageBreakBefore w:val="0"/>
        <w:widowControl w:val="0"/>
        <w:tabs>
          <w:tab w:val="left" w:pos="567"/>
        </w:tabs>
        <w:kinsoku/>
        <w:overflowPunct/>
        <w:bidi w:val="0"/>
        <w:snapToGrid w:val="0"/>
        <w:spacing w:line="360" w:lineRule="auto"/>
        <w:ind w:firstLine="482" w:firstLineChars="200"/>
        <w:rPr>
          <w:rFonts w:hint="eastAsia" w:ascii="宋体" w:hAnsi="宋体" w:cs="宋体"/>
          <w:b/>
          <w:kern w:val="0"/>
          <w:sz w:val="24"/>
          <w:highlight w:val="none"/>
        </w:rPr>
      </w:pPr>
      <w:r>
        <w:rPr>
          <w:rFonts w:hint="eastAsia" w:ascii="宋体" w:hAnsi="宋体" w:cs="宋体"/>
          <w:b/>
          <w:kern w:val="0"/>
          <w:sz w:val="24"/>
          <w:highlight w:val="none"/>
        </w:rPr>
        <w:t>26.商务、技术的符合性审查</w:t>
      </w:r>
    </w:p>
    <w:p w14:paraId="313EAF59">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26.1评标委员会对投标人商务技术文件的符合性审查，除项目要求需对投标文件中无法用文字表述的其他特殊要求（如需对样品或演示内容等）作为实质性审查内容外，只依据投标人在“山西政府采购平台”系统中提交的电子投标文件。</w:t>
      </w:r>
    </w:p>
    <w:p w14:paraId="789F0695">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26.2评标委员会应当各自对3家及以上资格性审查合格投标人的商务技术文件，依据招标文件中规定的“评审方法和评审标准”进行符合性审查，审查投标人商务、技术文件（含项目需要对样品或演示内容进行符合性审查的情形）是否对招标文件的商务、技术文件做出实质性响应，是否对政策性因素做出了实质性响应。</w:t>
      </w:r>
    </w:p>
    <w:p w14:paraId="2989334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26.3在审查过程中，评标委员会可以要求投标人对投标文件中含义不明确、同类问题表述不一致或者有明显文字和计算错误的内容等作出必要的澄清、说明或者更正。投标人的澄清、说明或者更正不得超过投标文件的范围或者改变投标文件的实质性内容。</w:t>
      </w:r>
    </w:p>
    <w:p w14:paraId="2FF2D40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26.4评标委员会要求投标人澄清、说明或者更正的内容应当在“山西政府采购平台”提出。投标人的澄清、说明或者更正应当加盖法定代表人或其授权代表电子签章或者投标人CA数字证书电子印章，并在“山西政府采购平台”进行回复。评标委员会成员根据回复内容，判断其是否实质上响应招标文件要求。</w:t>
      </w:r>
    </w:p>
    <w:p w14:paraId="537A4036">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26.5合格的商务技术文件：是指经评标委员会成员审查（含投标人对评标委员会要求其澄清、说明或者更正作出回复的内容）认定，对招标文件的商务技术条款、条件和要求作出了完整性、符合性响应，经评标委员会认定没有重大偏离或保留的商务技术文件。</w:t>
      </w:r>
    </w:p>
    <w:p w14:paraId="5E83937D">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26.6重大偏离系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1BD88816">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A．未对“投标人须知前附表”第6项中带★号的商务技术要求及第五部分商务、技术要求中</w:t>
      </w:r>
      <w:r>
        <w:rPr>
          <w:rFonts w:hint="eastAsia" w:ascii="宋体" w:hAnsi="宋体" w:cs="宋体"/>
          <w:color w:val="000000" w:themeColor="text1"/>
          <w:kern w:val="0"/>
          <w:sz w:val="24"/>
          <w:highlight w:val="none"/>
          <w:lang w:val="en-US" w:eastAsia="zh-CN"/>
          <w14:textFill>
            <w14:solidFill>
              <w14:schemeClr w14:val="tx1"/>
            </w14:solidFill>
          </w14:textFill>
        </w:rPr>
        <w:t>的</w:t>
      </w:r>
      <w:r>
        <w:rPr>
          <w:rFonts w:hint="eastAsia" w:ascii="宋体" w:hAnsi="宋体" w:cs="宋体"/>
          <w:color w:val="000000" w:themeColor="text1"/>
          <w:kern w:val="0"/>
          <w:sz w:val="24"/>
          <w:highlight w:val="none"/>
          <w14:textFill>
            <w14:solidFill>
              <w14:schemeClr w14:val="tx1"/>
            </w14:solidFill>
          </w14:textFill>
        </w:rPr>
        <w:t>商务技术指标作出实质性响应的；</w:t>
      </w:r>
    </w:p>
    <w:p w14:paraId="73FF5B54">
      <w:pPr>
        <w:keepNext w:val="0"/>
        <w:keepLines w:val="0"/>
        <w:pageBreakBefore w:val="0"/>
        <w:widowControl w:val="0"/>
        <w:tabs>
          <w:tab w:val="left" w:pos="737"/>
          <w:tab w:val="left" w:pos="1200"/>
        </w:tabs>
        <w:kinsoku/>
        <w:overflowPunct/>
        <w:bidi w:val="0"/>
        <w:adjustRightInd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B．未按招标文件的规定签署、盖章的；</w:t>
      </w:r>
    </w:p>
    <w:p w14:paraId="3E5168CF">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C．投标文件有效期不足的；</w:t>
      </w:r>
    </w:p>
    <w:p w14:paraId="584B73F1">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D．未按照招标文件规定报价的；报价超过招标文件中规定的最高限价的；</w:t>
      </w:r>
    </w:p>
    <w:p w14:paraId="468DF1BD">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E．未对执行标准、合同履约期限、</w:t>
      </w:r>
      <w:r>
        <w:rPr>
          <w:rFonts w:hint="eastAsia" w:ascii="宋体" w:hAnsi="宋体" w:cs="宋体"/>
          <w:color w:val="000000" w:themeColor="text1"/>
          <w:kern w:val="0"/>
          <w:sz w:val="24"/>
          <w:highlight w:val="none"/>
          <w:lang w:val="en-US" w:eastAsia="zh-CN"/>
          <w14:textFill>
            <w14:solidFill>
              <w14:schemeClr w14:val="tx1"/>
            </w14:solidFill>
          </w14:textFill>
        </w:rPr>
        <w:t>服务范围</w:t>
      </w:r>
      <w:r>
        <w:rPr>
          <w:rFonts w:hint="eastAsia" w:ascii="宋体" w:hAnsi="宋体" w:cs="宋体"/>
          <w:color w:val="000000" w:themeColor="text1"/>
          <w:kern w:val="0"/>
          <w:sz w:val="24"/>
          <w:highlight w:val="none"/>
          <w14:textFill>
            <w14:solidFill>
              <w14:schemeClr w14:val="tx1"/>
            </w14:solidFill>
          </w14:textFill>
        </w:rPr>
        <w:t>、</w:t>
      </w:r>
      <w:r>
        <w:rPr>
          <w:rFonts w:hint="eastAsia" w:ascii="Times New Roman" w:hAnsi="Times New Roman"/>
          <w:color w:val="000000" w:themeColor="text1"/>
          <w:sz w:val="24"/>
          <w:highlight w:val="none"/>
          <w14:textFill>
            <w14:solidFill>
              <w14:schemeClr w14:val="tx1"/>
            </w14:solidFill>
          </w14:textFill>
        </w:rPr>
        <w:t>付款方式</w:t>
      </w:r>
      <w:r>
        <w:rPr>
          <w:rFonts w:hint="eastAsia" w:ascii="宋体" w:hAnsi="宋体" w:cs="宋体"/>
          <w:color w:val="000000" w:themeColor="text1"/>
          <w:kern w:val="0"/>
          <w:sz w:val="24"/>
          <w:highlight w:val="none"/>
          <w14:textFill>
            <w14:solidFill>
              <w14:schemeClr w14:val="tx1"/>
            </w14:solidFill>
          </w14:textFill>
        </w:rPr>
        <w:t>、履约保证金及验收标准等作出实质性响应的或技术指标超出采购人可接受的负偏差范围的；</w:t>
      </w:r>
    </w:p>
    <w:p w14:paraId="1ED2A687">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F．不符合招标文件中有关分包、转包规定的；</w:t>
      </w:r>
    </w:p>
    <w:p w14:paraId="473A59EE">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G．投标文件附有采购人不能接受的条件的；</w:t>
      </w:r>
    </w:p>
    <w:p w14:paraId="2C94E7F5">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H．未在规定时间内对评标委员会要求投标人澄清、说明或者更正的内容作出回复或回复内容未对要求澄清、说明或者更正的内容作出实质性响应的；</w:t>
      </w:r>
    </w:p>
    <w:p w14:paraId="70A354DA">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I.未对政策性因素中的强制性要求作出响应或未提供相关证明材料的；</w:t>
      </w:r>
    </w:p>
    <w:p w14:paraId="3D74BA32">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J.不符合招标文件中规定的其他实质性要求的。</w:t>
      </w:r>
    </w:p>
    <w:p w14:paraId="3F7A4E59">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存在以上情形的商务、技术文件，视为投标无效。投标人不得再对投标文件进行任何澄清、说明或者更正，从而使其成为</w:t>
      </w:r>
      <w:r>
        <w:rPr>
          <w:rFonts w:hint="eastAsia" w:ascii="宋体" w:hAnsi="宋体" w:cs="宋体"/>
          <w:kern w:val="0"/>
          <w:sz w:val="24"/>
          <w:highlight w:val="none"/>
        </w:rPr>
        <w:t>合格的商务技术文件</w:t>
      </w:r>
      <w:r>
        <w:rPr>
          <w:rFonts w:hint="eastAsia" w:ascii="宋体" w:hAnsi="宋体" w:cs="宋体"/>
          <w:color w:val="000000" w:themeColor="text1"/>
          <w:kern w:val="0"/>
          <w:sz w:val="24"/>
          <w:highlight w:val="none"/>
          <w14:textFill>
            <w14:solidFill>
              <w14:schemeClr w14:val="tx1"/>
            </w14:solidFill>
          </w14:textFill>
        </w:rPr>
        <w:t>。</w:t>
      </w:r>
    </w:p>
    <w:p w14:paraId="67D7E348">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26.7重大偏离不允许在开标后修正。</w:t>
      </w:r>
    </w:p>
    <w:p w14:paraId="752BCE46">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26.8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42B83DA4">
      <w:pPr>
        <w:keepNext w:val="0"/>
        <w:keepLines w:val="0"/>
        <w:pageBreakBefore w:val="0"/>
        <w:widowControl w:val="0"/>
        <w:kinsoku/>
        <w:overflowPunct/>
        <w:bidi w:val="0"/>
        <w:snapToGrid w:val="0"/>
        <w:spacing w:line="360" w:lineRule="auto"/>
        <w:ind w:firstLine="482" w:firstLineChars="200"/>
        <w:rPr>
          <w:rFonts w:ascii="宋体" w:hAnsi="宋体" w:cs="宋体"/>
          <w:b/>
          <w:kern w:val="0"/>
          <w:sz w:val="24"/>
          <w:highlight w:val="none"/>
        </w:rPr>
      </w:pPr>
      <w:r>
        <w:rPr>
          <w:rFonts w:hint="eastAsia" w:ascii="宋体" w:hAnsi="宋体" w:cs="宋体"/>
          <w:b/>
          <w:color w:val="000000" w:themeColor="text1"/>
          <w:kern w:val="0"/>
          <w:sz w:val="24"/>
          <w:highlight w:val="none"/>
          <w14:textFill>
            <w14:solidFill>
              <w14:schemeClr w14:val="tx1"/>
            </w14:solidFill>
          </w14:textFill>
        </w:rPr>
        <w:t>27.对投标人的商</w:t>
      </w:r>
      <w:r>
        <w:rPr>
          <w:rFonts w:hint="eastAsia" w:ascii="宋体" w:hAnsi="宋体" w:cs="宋体"/>
          <w:b/>
          <w:kern w:val="0"/>
          <w:sz w:val="24"/>
          <w:highlight w:val="none"/>
        </w:rPr>
        <w:t>务技术文件进行比较和评价</w:t>
      </w:r>
    </w:p>
    <w:p w14:paraId="459BB6EF">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kern w:val="0"/>
          <w:sz w:val="24"/>
          <w:highlight w:val="none"/>
        </w:rPr>
        <w:t>27.1本项目采用综合评分法，</w:t>
      </w:r>
      <w:r>
        <w:rPr>
          <w:rFonts w:hint="eastAsia" w:ascii="宋体" w:hAnsi="宋体" w:cs="宋体"/>
          <w:sz w:val="24"/>
          <w:highlight w:val="none"/>
        </w:rPr>
        <w:t>对各包投标人商务技术文件符合性审查后，合格投标人数量符合法定数量的，</w:t>
      </w:r>
      <w:r>
        <w:rPr>
          <w:rFonts w:hint="eastAsia" w:ascii="宋体" w:hAnsi="宋体" w:cs="宋体"/>
          <w:kern w:val="0"/>
          <w:sz w:val="24"/>
          <w:highlight w:val="none"/>
        </w:rPr>
        <w:t>评标委员会应当按照招标文件中规定的“评审方法和评审标准”，对</w:t>
      </w:r>
      <w:r>
        <w:rPr>
          <w:rFonts w:hint="eastAsia" w:ascii="宋体" w:hAnsi="宋体" w:cs="宋体"/>
          <w:color w:val="000000" w:themeColor="text1"/>
          <w:kern w:val="0"/>
          <w:sz w:val="24"/>
          <w:highlight w:val="none"/>
          <w14:textFill>
            <w14:solidFill>
              <w14:schemeClr w14:val="tx1"/>
            </w14:solidFill>
          </w14:textFill>
        </w:rPr>
        <w:t>合格投标人的投标文件进行商务和技术评估，综合比较与评价。</w:t>
      </w:r>
    </w:p>
    <w:p w14:paraId="71FA7654">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27.2评标委员会对投标文件的比较和评价，除项目需对投标文件中无法用文字表述须采用提交的样品或演示等内容进行比较和评判的特殊要求外，只依据投标人的商务技术文件内容本身，不依据任何外来证明。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06F9176E">
      <w:pPr>
        <w:keepNext w:val="0"/>
        <w:keepLines w:val="0"/>
        <w:pageBreakBefore w:val="0"/>
        <w:widowControl w:val="0"/>
        <w:kinsoku/>
        <w:overflowPunct/>
        <w:bidi w:val="0"/>
        <w:spacing w:line="360" w:lineRule="auto"/>
        <w:ind w:firstLine="482"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28.报价评审</w:t>
      </w:r>
    </w:p>
    <w:p w14:paraId="0F8CBF1F">
      <w:pPr>
        <w:keepNext w:val="0"/>
        <w:keepLines w:val="0"/>
        <w:pageBreakBefore w:val="0"/>
        <w:widowControl w:val="0"/>
        <w:kinsoku/>
        <w:overflowPunct/>
        <w:bidi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28.1根据本文件第四部分“评审方法和评审标准”对投标报价进行符合性审查。</w:t>
      </w:r>
    </w:p>
    <w:p w14:paraId="63C328A2">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28.2投标报价出现前后不一致的，按照下列规定修正：</w:t>
      </w:r>
    </w:p>
    <w:p w14:paraId="0B9DFA42">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（一）投标文件中开标一览表（报价表）内容与投标文件中相应内容不一致的，以开标一览表（报价表）为准；</w:t>
      </w:r>
    </w:p>
    <w:p w14:paraId="3CB7AB37">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（二）大写金额和小写金额不一致的，以大写金额为准；</w:t>
      </w:r>
    </w:p>
    <w:p w14:paraId="0C6EDA09">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（三）单价金额小数点或者百分比有明显错位的，以开标一览表的总价为准，并修改单价；</w:t>
      </w:r>
    </w:p>
    <w:p w14:paraId="551E9E52">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（四）总价金额与按单价汇总金额不一致的，以单价金额计算结果为准。</w:t>
      </w:r>
    </w:p>
    <w:p w14:paraId="0F0828A2">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rPr>
        <w:t>同时出现两种以上不一致的，按照前款规定的顺序修正。评标委员会并通过</w:t>
      </w:r>
      <w:r>
        <w:rPr>
          <w:rFonts w:hint="eastAsia" w:ascii="宋体" w:hAnsi="宋体" w:eastAsia="宋体" w:cs="宋体"/>
          <w:kern w:val="0"/>
          <w:sz w:val="24"/>
          <w:highlight w:val="none"/>
        </w:rPr>
        <w:t>“山西政府采购平台”向投标人发出确认函，投标人应在规定时间内对其修正后的报价进行确认，确认函应当加盖法定代表人或其授权代表电子签章或者投标人CA数字证书电子印章，并在“山西政府采购平台”进行回复。修正后的报价经投标人确认后产生约束力，投标人不确认的，其投标无效。</w:t>
      </w:r>
    </w:p>
    <w:p w14:paraId="6C87A4F9">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28.3经审查，合格投标人数量符合法定投标人家数时，对符合政策性要求优惠的各投标人的投标报价，按照政策性因素价格扣除后，形成各投标人最终评标价格。</w:t>
      </w:r>
    </w:p>
    <w:p w14:paraId="64ED431B">
      <w:pPr>
        <w:keepNext w:val="0"/>
        <w:keepLines w:val="0"/>
        <w:pageBreakBefore w:val="0"/>
        <w:widowControl w:val="0"/>
        <w:tabs>
          <w:tab w:val="left" w:pos="567"/>
        </w:tabs>
        <w:kinsoku/>
        <w:overflowPunct/>
        <w:bidi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28.4采用最低评标价法评标时，除了算术修正和按照落实政府采购政策需进行的价格扣除外，不能对投标人的投标价格进行任何调整。</w:t>
      </w:r>
    </w:p>
    <w:p w14:paraId="0C1AFEF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2" w:firstLineChars="200"/>
        <w:rPr>
          <w:rFonts w:hint="eastAsia" w:ascii="宋体" w:hAnsi="宋体" w:cs="宋体"/>
          <w:b/>
          <w:bCs/>
          <w:kern w:val="0"/>
          <w:sz w:val="24"/>
          <w:highlight w:val="none"/>
        </w:rPr>
      </w:pPr>
      <w:r>
        <w:rPr>
          <w:rFonts w:hint="eastAsia" w:ascii="宋体" w:hAnsi="宋体" w:cs="宋体"/>
          <w:b/>
          <w:bCs/>
          <w:kern w:val="0"/>
          <w:sz w:val="24"/>
          <w:highlight w:val="none"/>
        </w:rPr>
        <w:t>28.5报价存在下列情况之一者将视为投标无效：</w:t>
      </w:r>
    </w:p>
    <w:p w14:paraId="59DEA867">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cs="宋体"/>
          <w:b w:val="0"/>
          <w:bCs w:val="0"/>
          <w:kern w:val="0"/>
          <w:sz w:val="24"/>
          <w:highlight w:val="none"/>
        </w:rPr>
      </w:pPr>
      <w:r>
        <w:rPr>
          <w:rFonts w:hint="eastAsia" w:ascii="宋体" w:hAnsi="宋体" w:cs="宋体"/>
          <w:b w:val="0"/>
          <w:bCs w:val="0"/>
          <w:kern w:val="0"/>
          <w:sz w:val="24"/>
          <w:highlight w:val="none"/>
        </w:rPr>
        <w:t>（1）开标一览表中未按照招标文件要求签章的；</w:t>
      </w:r>
    </w:p>
    <w:p w14:paraId="1CB93869">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cs="宋体"/>
          <w:b w:val="0"/>
          <w:bCs w:val="0"/>
          <w:kern w:val="0"/>
          <w:sz w:val="24"/>
          <w:highlight w:val="none"/>
        </w:rPr>
      </w:pPr>
      <w:r>
        <w:rPr>
          <w:rFonts w:hint="eastAsia" w:ascii="宋体" w:hAnsi="宋体" w:cs="宋体"/>
          <w:b w:val="0"/>
          <w:bCs w:val="0"/>
          <w:kern w:val="0"/>
          <w:sz w:val="24"/>
          <w:highlight w:val="none"/>
        </w:rPr>
        <w:t>（2）未按招标文件进行签署的；</w:t>
      </w:r>
    </w:p>
    <w:p w14:paraId="57E5A99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cs="宋体"/>
          <w:b w:val="0"/>
          <w:bCs w:val="0"/>
          <w:kern w:val="0"/>
          <w:sz w:val="24"/>
          <w:highlight w:val="none"/>
        </w:rPr>
      </w:pPr>
      <w:r>
        <w:rPr>
          <w:rFonts w:hint="eastAsia" w:ascii="宋体" w:hAnsi="宋体" w:cs="宋体"/>
          <w:b w:val="0"/>
          <w:bCs w:val="0"/>
          <w:kern w:val="0"/>
          <w:sz w:val="24"/>
          <w:highlight w:val="none"/>
        </w:rPr>
        <w:t>（3）未按招标文件要求进行填报或报价表填报不完整，存在空项、漏项、缺项的；</w:t>
      </w:r>
    </w:p>
    <w:p w14:paraId="6BDEF6E2">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cs="宋体"/>
          <w:b w:val="0"/>
          <w:bCs w:val="0"/>
          <w:kern w:val="0"/>
          <w:sz w:val="24"/>
          <w:highlight w:val="none"/>
        </w:rPr>
      </w:pPr>
      <w:r>
        <w:rPr>
          <w:rFonts w:hint="eastAsia" w:ascii="宋体" w:hAnsi="宋体" w:cs="宋体"/>
          <w:b w:val="0"/>
          <w:bCs w:val="0"/>
          <w:kern w:val="0"/>
          <w:sz w:val="24"/>
          <w:highlight w:val="none"/>
        </w:rPr>
        <w:t>（4）评标委员会一致认为投标人的报价明显低于其他通过符合性审查投标人的报价，有可能影响产品质量或者不能诚信履约的，应当要求其在合理的时间内通过“山西政府采购平台”提供书面说明，必要时提交相关证明材料；</w:t>
      </w:r>
      <w:r>
        <w:rPr>
          <w:rFonts w:hint="eastAsia" w:ascii="宋体" w:hAnsi="宋体" w:cs="宋体"/>
          <w:b w:val="0"/>
          <w:bCs w:val="0"/>
          <w:kern w:val="0"/>
          <w:sz w:val="24"/>
          <w:highlight w:val="none"/>
          <w:lang w:val="en-US" w:eastAsia="zh-CN"/>
        </w:rPr>
        <w:t>投标人</w:t>
      </w:r>
      <w:r>
        <w:rPr>
          <w:rFonts w:hint="eastAsia" w:ascii="宋体" w:hAnsi="宋体" w:cs="宋体"/>
          <w:b w:val="0"/>
          <w:bCs w:val="0"/>
          <w:kern w:val="0"/>
          <w:sz w:val="24"/>
          <w:highlight w:val="none"/>
        </w:rPr>
        <w:t>提交的书面说明，应当加盖</w:t>
      </w:r>
      <w:r>
        <w:rPr>
          <w:rFonts w:hint="eastAsia" w:ascii="宋体" w:hAnsi="宋体" w:cs="宋体"/>
          <w:b w:val="0"/>
          <w:bCs w:val="0"/>
          <w:kern w:val="0"/>
          <w:sz w:val="24"/>
          <w:highlight w:val="none"/>
          <w:lang w:val="en-US" w:eastAsia="zh-CN"/>
        </w:rPr>
        <w:t>投标人</w:t>
      </w:r>
      <w:r>
        <w:rPr>
          <w:rFonts w:hint="eastAsia" w:ascii="宋体" w:hAnsi="宋体" w:cs="宋体"/>
          <w:b w:val="0"/>
          <w:bCs w:val="0"/>
          <w:kern w:val="0"/>
          <w:sz w:val="24"/>
          <w:highlight w:val="none"/>
        </w:rPr>
        <w:t>公章，在</w:t>
      </w:r>
      <w:r>
        <w:rPr>
          <w:rFonts w:hint="eastAsia" w:ascii="宋体" w:hAnsi="宋体" w:cs="宋体"/>
          <w:b w:val="0"/>
          <w:bCs w:val="0"/>
          <w:kern w:val="0"/>
          <w:sz w:val="24"/>
          <w:highlight w:val="none"/>
          <w:lang w:val="en-US" w:eastAsia="zh-CN"/>
        </w:rPr>
        <w:t>评标</w:t>
      </w:r>
      <w:r>
        <w:rPr>
          <w:rFonts w:hint="eastAsia" w:ascii="宋体" w:hAnsi="宋体" w:cs="宋体"/>
          <w:b w:val="0"/>
          <w:bCs w:val="0"/>
          <w:kern w:val="0"/>
          <w:sz w:val="24"/>
          <w:highlight w:val="none"/>
        </w:rPr>
        <w:t>委员会要求的时间内通过“山西政府采购平台”进行提交，否则视为不能证明其</w:t>
      </w:r>
      <w:r>
        <w:rPr>
          <w:rFonts w:hint="eastAsia" w:ascii="宋体" w:hAnsi="宋体" w:cs="宋体"/>
          <w:b w:val="0"/>
          <w:bCs w:val="0"/>
          <w:kern w:val="0"/>
          <w:sz w:val="24"/>
          <w:highlight w:val="none"/>
          <w:lang w:val="en-US" w:eastAsia="zh-CN"/>
        </w:rPr>
        <w:t>投标</w:t>
      </w:r>
      <w:r>
        <w:rPr>
          <w:rFonts w:hint="eastAsia" w:ascii="宋体" w:hAnsi="宋体" w:cs="宋体"/>
          <w:b w:val="0"/>
          <w:bCs w:val="0"/>
          <w:kern w:val="0"/>
          <w:sz w:val="24"/>
          <w:highlight w:val="none"/>
        </w:rPr>
        <w:t>报价合理性。</w:t>
      </w:r>
      <w:r>
        <w:rPr>
          <w:rFonts w:hint="eastAsia" w:ascii="宋体" w:hAnsi="宋体" w:cs="宋体"/>
          <w:b w:val="0"/>
          <w:bCs w:val="0"/>
          <w:kern w:val="0"/>
          <w:sz w:val="24"/>
          <w:highlight w:val="none"/>
          <w:lang w:val="en-US" w:eastAsia="zh-CN"/>
        </w:rPr>
        <w:t>投标人</w:t>
      </w:r>
      <w:r>
        <w:rPr>
          <w:rFonts w:hint="eastAsia" w:ascii="宋体" w:hAnsi="宋体" w:cs="宋体"/>
          <w:b w:val="0"/>
          <w:bCs w:val="0"/>
          <w:kern w:val="0"/>
          <w:sz w:val="24"/>
          <w:highlight w:val="none"/>
        </w:rPr>
        <w:t>不能证明其</w:t>
      </w:r>
      <w:r>
        <w:rPr>
          <w:rFonts w:hint="eastAsia" w:ascii="宋体" w:hAnsi="宋体" w:cs="宋体"/>
          <w:b w:val="0"/>
          <w:bCs w:val="0"/>
          <w:kern w:val="0"/>
          <w:sz w:val="24"/>
          <w:highlight w:val="none"/>
          <w:lang w:val="en-US" w:eastAsia="zh-CN"/>
        </w:rPr>
        <w:t>投标</w:t>
      </w:r>
      <w:r>
        <w:rPr>
          <w:rFonts w:hint="eastAsia" w:ascii="宋体" w:hAnsi="宋体" w:cs="宋体"/>
          <w:b w:val="0"/>
          <w:bCs w:val="0"/>
          <w:kern w:val="0"/>
          <w:sz w:val="24"/>
          <w:highlight w:val="none"/>
        </w:rPr>
        <w:t>报价合理性的，评审委员会应当将其</w:t>
      </w:r>
      <w:r>
        <w:rPr>
          <w:rFonts w:hint="eastAsia" w:ascii="宋体" w:hAnsi="宋体" w:cs="宋体"/>
          <w:b w:val="0"/>
          <w:bCs w:val="0"/>
          <w:kern w:val="0"/>
          <w:sz w:val="24"/>
          <w:highlight w:val="none"/>
          <w:lang w:val="en-US" w:eastAsia="zh-CN"/>
        </w:rPr>
        <w:t>投标</w:t>
      </w:r>
      <w:r>
        <w:rPr>
          <w:rFonts w:hint="eastAsia" w:ascii="宋体" w:hAnsi="宋体" w:cs="宋体"/>
          <w:b w:val="0"/>
          <w:bCs w:val="0"/>
          <w:kern w:val="0"/>
          <w:sz w:val="24"/>
          <w:highlight w:val="none"/>
        </w:rPr>
        <w:t>文件作为无效</w:t>
      </w:r>
      <w:r>
        <w:rPr>
          <w:rFonts w:hint="eastAsia" w:ascii="宋体" w:hAnsi="宋体" w:cs="宋体"/>
          <w:b w:val="0"/>
          <w:bCs w:val="0"/>
          <w:kern w:val="0"/>
          <w:sz w:val="24"/>
          <w:highlight w:val="none"/>
          <w:lang w:val="en-US" w:eastAsia="zh-CN"/>
        </w:rPr>
        <w:t>投标</w:t>
      </w:r>
      <w:r>
        <w:rPr>
          <w:rFonts w:hint="eastAsia" w:ascii="宋体" w:hAnsi="宋体" w:cs="宋体"/>
          <w:b w:val="0"/>
          <w:bCs w:val="0"/>
          <w:kern w:val="0"/>
          <w:sz w:val="24"/>
          <w:highlight w:val="none"/>
        </w:rPr>
        <w:t>处理。</w:t>
      </w:r>
    </w:p>
    <w:p w14:paraId="78C82DB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0" w:firstLineChars="200"/>
        <w:rPr>
          <w:rFonts w:hint="eastAsia" w:ascii="宋体" w:hAnsi="宋体" w:cs="宋体"/>
          <w:b w:val="0"/>
          <w:bCs w:val="0"/>
          <w:kern w:val="0"/>
          <w:sz w:val="24"/>
          <w:highlight w:val="none"/>
        </w:rPr>
      </w:pPr>
      <w:r>
        <w:rPr>
          <w:rFonts w:hint="eastAsia" w:ascii="宋体" w:hAnsi="宋体" w:cs="宋体"/>
          <w:b w:val="0"/>
          <w:bCs w:val="0"/>
          <w:kern w:val="0"/>
          <w:sz w:val="24"/>
          <w:highlight w:val="none"/>
        </w:rPr>
        <w:t>经审查，合格投标人数量不符合法定投标人家数时，需依法重新组织招标活动。</w:t>
      </w:r>
    </w:p>
    <w:p w14:paraId="53753548">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bidi w:val="0"/>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29.评审价格的确定</w:t>
      </w:r>
    </w:p>
    <w:p w14:paraId="203A1137">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29.1政策性因素价格扣除</w:t>
      </w:r>
    </w:p>
    <w:p w14:paraId="4B010473">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sz w:val="24"/>
          <w:highlight w:val="none"/>
        </w:rPr>
        <w:t>评标委员会成员应当对经主管预算单位统筹后未预留份额专门面向中小企业采购的采购项目，以及预留份额项目中的非预留部分采购包，按照《关于印发&lt;政府采购促进中小企业发展管理办法&gt;的通知》(财库〔2022〕19号）规定，</w:t>
      </w:r>
      <w:r>
        <w:rPr>
          <w:rFonts w:hint="eastAsia" w:ascii="宋体" w:hAnsi="宋体" w:cs="宋体"/>
          <w:kern w:val="0"/>
          <w:sz w:val="24"/>
          <w:highlight w:val="none"/>
        </w:rPr>
        <w:t>对符合下列政府采购政策性要求的各投标人的投标报价，按照相应扣除比例进行价格扣除，形成各投标人最终评审价格。</w:t>
      </w:r>
    </w:p>
    <w:p w14:paraId="7F389DF2">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（1）中小微企业参加本项目：</w:t>
      </w:r>
    </w:p>
    <w:p w14:paraId="5CBD6624">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按财政部、工业和信息化部发布的《关于印发&lt;政府采购促进中小企业发展管理办法&gt;的通知》（财库〔2020〕46号）提供了《中小企业声明函》，按照《财政部关于进一步加大政府采购支持中小企业力度的通知》(财库〔2022〕19号）给予小微企业报价15%的扣除，用扣除后的价格参加评审。</w:t>
      </w:r>
    </w:p>
    <w:p w14:paraId="1F5DAAE0">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（2）残疾人福利单位参加本项目：</w:t>
      </w:r>
    </w:p>
    <w:p w14:paraId="5BB0E68A">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在政府采购活动中，残疾人福利性单位视同小型、微型企业，投标人按《三部门联合发布关于促进残疾人就业政府采购政策的通知》（财库[2017]141号）提供了《</w:t>
      </w:r>
      <w:bookmarkStart w:id="29" w:name="OLE_LINK13"/>
      <w:bookmarkStart w:id="30" w:name="OLE_LINK14"/>
      <w:r>
        <w:rPr>
          <w:rFonts w:hint="eastAsia" w:ascii="宋体" w:hAnsi="宋体" w:cs="宋体"/>
          <w:sz w:val="24"/>
          <w:highlight w:val="none"/>
        </w:rPr>
        <w:t>残疾人福利性单位声明函</w:t>
      </w:r>
      <w:bookmarkEnd w:id="29"/>
      <w:bookmarkEnd w:id="30"/>
      <w:r>
        <w:rPr>
          <w:rFonts w:hint="eastAsia" w:ascii="宋体" w:hAnsi="宋体" w:cs="宋体"/>
          <w:sz w:val="24"/>
          <w:highlight w:val="none"/>
        </w:rPr>
        <w:t>》，给予报价15%的扣除，用扣除后的价格参加评审。</w:t>
      </w:r>
    </w:p>
    <w:p w14:paraId="77706254">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（3）监狱企业参加本项目：</w:t>
      </w:r>
    </w:p>
    <w:p w14:paraId="1AF5918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2B36B6C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（4）联合体参加本项目：</w:t>
      </w:r>
    </w:p>
    <w:p w14:paraId="1720E220">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5026F89D">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（5）创新产品参加的项目</w:t>
      </w:r>
    </w:p>
    <w:p w14:paraId="11CA24AE">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报价产品符合《政府采购支持创新产品和服务实施细则》（晋财购【2019】19号）规定，属于《山西省创新产品和服务推荐清单》内产品，除对其报价给予6%的扣除外，还要对满足上述政策性要求的报价叠加扣除，用扣除后的价格参加评审。</w:t>
      </w:r>
    </w:p>
    <w:p w14:paraId="7DD14D1F">
      <w:pPr>
        <w:pStyle w:val="18"/>
        <w:keepNext w:val="0"/>
        <w:keepLines w:val="0"/>
        <w:pageBreakBefore w:val="0"/>
        <w:widowControl w:val="0"/>
        <w:kinsoku/>
        <w:overflowPunct/>
        <w:topLinePunct/>
        <w:bidi w:val="0"/>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29.2对专门面向中小企业的采购项目，除创新产品参加的项目按2</w:t>
      </w:r>
      <w:r>
        <w:rPr>
          <w:rFonts w:hint="eastAsia" w:ascii="宋体" w:hAnsi="宋体" w:cs="宋体"/>
          <w:sz w:val="24"/>
          <w:szCs w:val="24"/>
          <w:highlight w:val="none"/>
          <w:lang w:val="en-US" w:eastAsia="zh-CN"/>
        </w:rPr>
        <w:t>9</w:t>
      </w:r>
      <w:r>
        <w:rPr>
          <w:rFonts w:hint="eastAsia" w:ascii="宋体" w:hAnsi="宋体" w:cs="宋体"/>
          <w:sz w:val="24"/>
          <w:szCs w:val="24"/>
          <w:highlight w:val="none"/>
        </w:rPr>
        <w:t>.1第5款进行价格扣除，用扣除后的价格参加评审外，其他各投标人报价即为评审价格。</w:t>
      </w:r>
    </w:p>
    <w:p w14:paraId="34057F96">
      <w:pPr>
        <w:pStyle w:val="18"/>
        <w:keepNext w:val="0"/>
        <w:keepLines w:val="0"/>
        <w:pageBreakBefore w:val="0"/>
        <w:widowControl w:val="0"/>
        <w:kinsoku/>
        <w:overflowPunct/>
        <w:topLinePunct/>
        <w:bidi w:val="0"/>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29.3环保节能产品参加的项目：</w:t>
      </w:r>
    </w:p>
    <w:p w14:paraId="2620F7D6">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（1）投报节能产品政府采购品目清单中强制性采购产品以外的其它节能产品，且提供所投产品获得国家确定的认证机构出具的、处于有效期之内的节能产品认证证书的，将给予适当加分。</w:t>
      </w:r>
    </w:p>
    <w:p w14:paraId="7844F5E7">
      <w:pPr>
        <w:keepNext w:val="0"/>
        <w:keepLines w:val="0"/>
        <w:pageBreakBefore w:val="0"/>
        <w:widowControl w:val="0"/>
        <w:kinsoku/>
        <w:overflowPunct/>
        <w:bidi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sz w:val="24"/>
          <w:highlight w:val="none"/>
        </w:rPr>
        <w:t>（2）投报环境标志产品政府采购品目清单中的产品，且提供所投产品获得国家确定的认证机构出具的、处于有效期之内的环境标志产品认证证书的，将给予适当加分。</w:t>
      </w:r>
    </w:p>
    <w:p w14:paraId="1885C8DD">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30.评审复核</w:t>
      </w:r>
    </w:p>
    <w:p w14:paraId="79E80832">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30.1评标结果汇总完成后，除下列情形外，任何人不得修改评标结果：</w:t>
      </w:r>
    </w:p>
    <w:p w14:paraId="75E4F074">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（一）分值汇总计算错误的；</w:t>
      </w:r>
    </w:p>
    <w:p w14:paraId="0D6590AC">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（二）分项评分超出评分标准范围的；</w:t>
      </w:r>
    </w:p>
    <w:p w14:paraId="50EB400E">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（三）评标委员会成员对客观评审因素评分不一致的；</w:t>
      </w:r>
    </w:p>
    <w:p w14:paraId="4B73F075">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（四）经评标委员会认定评分畸高、畸低的。</w:t>
      </w:r>
    </w:p>
    <w:p w14:paraId="4B797C89">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2814407C">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30.3投标人对本条第一款情形提出质疑的，采购代理机构可以组织原评标委员会进行重新评审，重新评审改变评标结果的，应当书面报告本级财政部门。</w:t>
      </w:r>
    </w:p>
    <w:p w14:paraId="3B5FF586">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31.推荐中标候选人</w:t>
      </w:r>
    </w:p>
    <w:p w14:paraId="1786D63C">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w:t>
      </w:r>
      <w:r>
        <w:rPr>
          <w:rFonts w:hint="eastAsia" w:ascii="宋体" w:hAnsi="宋体" w:cs="宋体"/>
          <w:color w:val="000000" w:themeColor="text1"/>
          <w:sz w:val="24"/>
          <w:highlight w:val="none"/>
          <w14:textFill>
            <w14:solidFill>
              <w14:schemeClr w14:val="tx1"/>
            </w14:solidFill>
          </w14:textFill>
        </w:rPr>
        <w:t>推荐中标候选人顺序须</w:t>
      </w:r>
      <w:r>
        <w:rPr>
          <w:rFonts w:hint="eastAsia" w:ascii="宋体" w:hAnsi="宋体" w:cs="宋体"/>
          <w:color w:val="000000" w:themeColor="text1"/>
          <w:kern w:val="0"/>
          <w:sz w:val="24"/>
          <w:highlight w:val="none"/>
          <w14:textFill>
            <w14:solidFill>
              <w14:schemeClr w14:val="tx1"/>
            </w14:solidFill>
          </w14:textFill>
        </w:rPr>
        <w:t>遵循下列原则：</w:t>
      </w:r>
    </w:p>
    <w:p w14:paraId="7B199ECA">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31.1.1采用综合评分法的，遵循下列原则：</w:t>
      </w:r>
    </w:p>
    <w:p w14:paraId="6B49C6BE">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b w:val="0"/>
          <w:bCs w:val="0"/>
          <w:color w:val="000000" w:themeColor="text1"/>
          <w:kern w:val="0"/>
          <w:sz w:val="24"/>
          <w:highlight w:val="none"/>
          <w14:textFill>
            <w14:solidFill>
              <w14:schemeClr w14:val="tx1"/>
            </w14:solidFill>
          </w14:textFill>
        </w:rPr>
      </w:pPr>
      <w:r>
        <w:rPr>
          <w:rFonts w:hint="eastAsia" w:ascii="宋体" w:hAnsi="宋体" w:cs="宋体"/>
          <w:b w:val="0"/>
          <w:bCs w:val="0"/>
          <w:color w:val="000000" w:themeColor="text1"/>
          <w:kern w:val="0"/>
          <w:sz w:val="24"/>
          <w:highlight w:val="none"/>
          <w14:textFill>
            <w14:solidFill>
              <w14:schemeClr w14:val="tx1"/>
            </w14:solidFill>
          </w14:textFill>
        </w:rPr>
        <w:t>31.1.1.1按评审后投标人的综合得分由高到低顺序排列。</w:t>
      </w:r>
    </w:p>
    <w:p w14:paraId="1C3D219A">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31.1.1.2综合得分相同的，按投标报价由低到高顺序排列。</w:t>
      </w:r>
    </w:p>
    <w:p w14:paraId="6F065F71">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31.1.1.3综合得分且投标报价相同的按照技术、服务等因素得分较高顺序排列。</w:t>
      </w:r>
    </w:p>
    <w:p w14:paraId="2A69BEBA">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31.1.1.4对于提供相同品牌产品的投标人，在推荐中标候选人时需遵循以下原则：</w:t>
      </w:r>
    </w:p>
    <w:p w14:paraId="023580A4">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组长当众采取随机抽取方式确定一个投标人获得中标候选人推荐资格，</w:t>
      </w:r>
      <w:r>
        <w:rPr>
          <w:rFonts w:hint="eastAsia" w:ascii="宋体" w:hAnsi="宋体" w:cs="宋体"/>
          <w:color w:val="000000" w:themeColor="text1"/>
          <w:sz w:val="24"/>
          <w:highlight w:val="none"/>
          <w:shd w:val="clear" w:color="auto" w:fill="FFFFFF"/>
          <w14:textFill>
            <w14:solidFill>
              <w14:schemeClr w14:val="tx1"/>
            </w14:solidFill>
          </w14:textFill>
        </w:rPr>
        <w:t>其他同品牌投标人不作为中标候选人。</w:t>
      </w:r>
    </w:p>
    <w:p w14:paraId="71337F8D">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（2）</w:t>
      </w:r>
      <w:r>
        <w:rPr>
          <w:rFonts w:hint="eastAsia" w:ascii="宋体" w:hAnsi="宋体" w:cs="宋体"/>
          <w:kern w:val="0"/>
          <w:sz w:val="24"/>
          <w:highlight w:val="none"/>
        </w:rPr>
        <w:t>对于非单一产品采购项目，</w:t>
      </w:r>
      <w:r>
        <w:rPr>
          <w:rFonts w:hint="eastAsia" w:ascii="宋体" w:hAnsi="宋体" w:cs="宋体"/>
          <w:b/>
          <w:bCs/>
          <w:kern w:val="0"/>
          <w:sz w:val="24"/>
          <w:highlight w:val="none"/>
        </w:rPr>
        <w:t>多家投标人提供的在招标文件中由采购人依据技术构成、产品价格比重等合理确定的核心产品（采购标的前标有“*”或“核心产品”字样）</w:t>
      </w:r>
      <w:r>
        <w:rPr>
          <w:rFonts w:hint="eastAsia" w:ascii="宋体" w:hAnsi="宋体" w:cs="宋体"/>
          <w:kern w:val="0"/>
          <w:sz w:val="24"/>
          <w:highlight w:val="none"/>
        </w:rPr>
        <w:t>为相同品牌的，按</w:t>
      </w:r>
      <w:r>
        <w:rPr>
          <w:rFonts w:hint="eastAsia" w:ascii="宋体" w:hAnsi="宋体" w:cs="宋体"/>
          <w:color w:val="000000" w:themeColor="text1"/>
          <w:kern w:val="0"/>
          <w:sz w:val="24"/>
          <w:highlight w:val="none"/>
          <w14:textFill>
            <w14:solidFill>
              <w14:schemeClr w14:val="tx1"/>
            </w14:solidFill>
          </w14:textFill>
        </w:rPr>
        <w:t>33.1.1.4（1）条</w:t>
      </w:r>
      <w:r>
        <w:rPr>
          <w:rFonts w:hint="eastAsia" w:ascii="宋体" w:hAnsi="宋体" w:cs="宋体"/>
          <w:kern w:val="0"/>
          <w:sz w:val="24"/>
          <w:highlight w:val="none"/>
        </w:rPr>
        <w:t>规定确定</w:t>
      </w:r>
      <w:r>
        <w:rPr>
          <w:rFonts w:hint="eastAsia" w:ascii="宋体" w:hAnsi="宋体" w:cs="宋体"/>
          <w:bCs/>
          <w:kern w:val="0"/>
          <w:sz w:val="24"/>
          <w:highlight w:val="none"/>
        </w:rPr>
        <w:t>获得中标候选人推荐资格的投标人</w:t>
      </w:r>
      <w:r>
        <w:rPr>
          <w:rFonts w:hint="eastAsia" w:ascii="宋体" w:hAnsi="宋体" w:cs="宋体"/>
          <w:kern w:val="0"/>
          <w:sz w:val="24"/>
          <w:highlight w:val="none"/>
        </w:rPr>
        <w:t>。</w:t>
      </w:r>
    </w:p>
    <w:p w14:paraId="3CCC8E21">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31.1.1.5评标委员会应当根据综合得分情况，按照综合得分由高到低的顺序推荐3名中标候选人。</w:t>
      </w:r>
    </w:p>
    <w:p w14:paraId="1FA091DB">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31.1.1.6评审得分最高的投标人为第一的中标候选人。</w:t>
      </w:r>
    </w:p>
    <w:p w14:paraId="28139D2A">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31.1.2采用最低评标价法的，遵循下列原则：</w:t>
      </w:r>
    </w:p>
    <w:p w14:paraId="097D2F10">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31.1.2.1按评审后按投标报价由低到高顺序排列。</w:t>
      </w:r>
    </w:p>
    <w:p w14:paraId="7BD549C5">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31.1.2.2投标报价相同的并列。投标文件满足招标文件全部实质性要求且投标报价最低的投标人为排名第一的中标候选人。</w:t>
      </w:r>
    </w:p>
    <w:p w14:paraId="53A2CDE4">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31.1.2.3对于提供相同品牌产品的投标人，在推荐中标候选人时需遵循以下原则：</w:t>
      </w:r>
    </w:p>
    <w:p w14:paraId="47BE9F73">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于单一产品采购项目，投标人提供相同品牌产品且通过符合性审查的不同投标人参加同一合同项下投标的，按一家投标人计算投标人数量。评审后报价最低的同品牌投标人获得中标候选人推荐资格；报价相同的，由评标委员会主任当众采取随机抽取方式确定一个投标人获得中标候选人推荐资格，其他同品牌投标人的投标无效。</w:t>
      </w:r>
    </w:p>
    <w:p w14:paraId="350FD20E">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kern w:val="0"/>
          <w:sz w:val="24"/>
          <w:highlight w:val="none"/>
        </w:rPr>
        <w:t>对于非单一产品采购项目，</w:t>
      </w:r>
      <w:r>
        <w:rPr>
          <w:rFonts w:hint="eastAsia" w:ascii="宋体" w:hAnsi="宋体" w:cs="宋体"/>
          <w:b/>
          <w:bCs/>
          <w:kern w:val="0"/>
          <w:sz w:val="24"/>
          <w:highlight w:val="none"/>
        </w:rPr>
        <w:t>多家投标人提供的在招标文件中由采购人依据技术构成、产品价格比重等合理确定的核心产品（采购标的前标有“*”或“核心产品”字样）</w:t>
      </w:r>
      <w:r>
        <w:rPr>
          <w:rFonts w:hint="eastAsia" w:ascii="宋体" w:hAnsi="宋体" w:cs="宋体"/>
          <w:kern w:val="0"/>
          <w:sz w:val="24"/>
          <w:highlight w:val="none"/>
        </w:rPr>
        <w:t>为相同品牌的，按</w:t>
      </w:r>
      <w:r>
        <w:rPr>
          <w:rFonts w:hint="eastAsia" w:ascii="宋体" w:hAnsi="宋体" w:cs="宋体"/>
          <w:color w:val="000000" w:themeColor="text1"/>
          <w:kern w:val="0"/>
          <w:sz w:val="24"/>
          <w:highlight w:val="none"/>
          <w14:textFill>
            <w14:solidFill>
              <w14:schemeClr w14:val="tx1"/>
            </w14:solidFill>
          </w14:textFill>
        </w:rPr>
        <w:t>31.1.2.3（1）</w:t>
      </w:r>
      <w:r>
        <w:rPr>
          <w:rFonts w:hint="eastAsia" w:ascii="宋体" w:hAnsi="宋体" w:cs="宋体"/>
          <w:kern w:val="0"/>
          <w:sz w:val="24"/>
          <w:highlight w:val="none"/>
        </w:rPr>
        <w:t>规定确定</w:t>
      </w:r>
      <w:r>
        <w:rPr>
          <w:rFonts w:hint="eastAsia" w:ascii="宋体" w:hAnsi="宋体" w:cs="宋体"/>
          <w:bCs/>
          <w:kern w:val="0"/>
          <w:sz w:val="24"/>
          <w:highlight w:val="none"/>
        </w:rPr>
        <w:t>获得中标候选人推荐资格的投标人</w:t>
      </w:r>
      <w:r>
        <w:rPr>
          <w:rFonts w:hint="eastAsia" w:ascii="宋体" w:hAnsi="宋体" w:cs="宋体"/>
          <w:kern w:val="0"/>
          <w:sz w:val="24"/>
          <w:highlight w:val="none"/>
        </w:rPr>
        <w:t>。</w:t>
      </w:r>
    </w:p>
    <w:p w14:paraId="1B44D889">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32.确定中标人</w:t>
      </w:r>
    </w:p>
    <w:p w14:paraId="58ABA11A">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本次招标，授权评标委员会按照中标候选人排序，优先直接确定排名第一的投标人为中标人。</w:t>
      </w:r>
    </w:p>
    <w:p w14:paraId="6C13B1C8">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33.编写评标报告</w:t>
      </w:r>
    </w:p>
    <w:p w14:paraId="076438DF">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33.1评标委员会根据全体成员签字的原始评标记录和评标结果编写商务技术文件评标报告。评标报告应当包括以下内容：</w:t>
      </w:r>
    </w:p>
    <w:p w14:paraId="18142844">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（一）招标公告刊登的媒体名称、开标日期和地点；</w:t>
      </w:r>
    </w:p>
    <w:p w14:paraId="125B1AF5">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w:t>
      </w:r>
      <w:r>
        <w:rPr>
          <w:rFonts w:hint="eastAsia" w:ascii="宋体" w:hAnsi="宋体" w:cs="宋体"/>
          <w:bCs/>
          <w:color w:val="000000" w:themeColor="text1"/>
          <w:kern w:val="0"/>
          <w:sz w:val="24"/>
          <w:highlight w:val="none"/>
          <w14:textFill>
            <w14:solidFill>
              <w14:schemeClr w14:val="tx1"/>
            </w14:solidFill>
          </w14:textFill>
        </w:rPr>
        <w:t>投标人名单</w:t>
      </w:r>
      <w:r>
        <w:rPr>
          <w:rFonts w:hint="eastAsia" w:ascii="宋体" w:hAnsi="宋体" w:cs="宋体"/>
          <w:color w:val="000000" w:themeColor="text1"/>
          <w:kern w:val="0"/>
          <w:sz w:val="24"/>
          <w:highlight w:val="none"/>
          <w14:textFill>
            <w14:solidFill>
              <w14:schemeClr w14:val="tx1"/>
            </w14:solidFill>
          </w14:textFill>
        </w:rPr>
        <w:t>和评标委员会成员名单；</w:t>
      </w:r>
    </w:p>
    <w:p w14:paraId="20E4BC29">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（三）评审方法和评审标准；</w:t>
      </w:r>
    </w:p>
    <w:p w14:paraId="2CFC5833">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（四）开标记录和评标情况及说明，包括无效投标人名单及原因；</w:t>
      </w:r>
    </w:p>
    <w:p w14:paraId="626435E4">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（五）评标结果，</w:t>
      </w:r>
      <w:r>
        <w:rPr>
          <w:rFonts w:hint="eastAsia" w:ascii="宋体" w:hAnsi="宋体" w:cs="宋体"/>
          <w:bCs/>
          <w:color w:val="000000" w:themeColor="text1"/>
          <w:kern w:val="0"/>
          <w:sz w:val="24"/>
          <w:highlight w:val="none"/>
          <w14:textFill>
            <w14:solidFill>
              <w14:schemeClr w14:val="tx1"/>
            </w14:solidFill>
          </w14:textFill>
        </w:rPr>
        <w:t>确定的中标候选人名单、评标委员会直接确定的中标人；</w:t>
      </w:r>
    </w:p>
    <w:p w14:paraId="3253BF44">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 xml:space="preserve">（六）其他需要说明的情况，包括评标过程中投标人根据评标委员会要求进行的澄清、说明或者补正，评标委员会成员的更换等。 </w:t>
      </w:r>
    </w:p>
    <w:p w14:paraId="669544B3">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33.2评标报告应当由全体评标成员共同签字认可。评标委员会成员对需要共同认定的事项存在争议的，应当按照少数服从多数的原则作出结论。持不同意见的评标委员会成员应当在评标报告上签署不同意见及理由，否则视为同意评标报告。</w:t>
      </w:r>
    </w:p>
    <w:p w14:paraId="53E2343C">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34.评标过程保密</w:t>
      </w:r>
    </w:p>
    <w:p w14:paraId="34106A26">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34.1在评审期间，任何人不得透露与评审有关的其他投标人的投标内容及响应方案和其他信息。</w:t>
      </w:r>
    </w:p>
    <w:p w14:paraId="75303C78">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34.2采购人、采购代理机构应当采取必要措施，保证评审在严格保密的情况下进行。除评审现场工作人员、采购人代表外，采购人的其他工作人员以及与评审工作无关的人员不得进入评审现场。</w:t>
      </w:r>
    </w:p>
    <w:p w14:paraId="43F6B14B">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34.3评审开始，直到授予中标人合同止，凡是属于审查、澄清、评价和比较评审的有关资料等，均不得向参与投标的投标人或其他与评审无关的人员透露。</w:t>
      </w:r>
    </w:p>
    <w:p w14:paraId="59772185">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34.4评审结束，进入评审现场的工作人员及评标委员会成员不得将评审、评定有关的任何资料带出评审现场。</w:t>
      </w:r>
    </w:p>
    <w:p w14:paraId="6FFAA94C">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35.关于投标人非实质性响应滞后发现的处理规则</w:t>
      </w:r>
    </w:p>
    <w:p w14:paraId="5E3C59EA">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无论基于何种原因，各项本应作拒绝或无效投标处理的情形，即便未被及时发现而使该投标人进入后续程序的，包括已经签约的情形。一旦被发现，采购代理机构均有权采取相应的补救及纠正措施。</w:t>
      </w:r>
    </w:p>
    <w:p w14:paraId="24C920C0">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36.无效投标与无效评标</w:t>
      </w:r>
    </w:p>
    <w:p w14:paraId="2256B6BE">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36.1有下列情形之一的，视为投标人串通投标，其投标无效：</w:t>
      </w:r>
    </w:p>
    <w:p w14:paraId="56D5BC28">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（一）不同投标人的投标文件由同一单位或者个人编制；</w:t>
      </w:r>
    </w:p>
    <w:p w14:paraId="5D3800A0">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（二）不同投标人委托同一单位或者个人办理投标事宜；</w:t>
      </w:r>
    </w:p>
    <w:p w14:paraId="34FB5250">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（三）不同投标人的投标文件载明的项目管理成员或者联系人员为同一人；</w:t>
      </w:r>
    </w:p>
    <w:p w14:paraId="45BBF3AF">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（四）不同投标人的投标文件异常一致或者投标报价呈规律性差异；</w:t>
      </w:r>
    </w:p>
    <w:p w14:paraId="5433E061">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（五）不同投标人的投标文件相互混装；</w:t>
      </w:r>
    </w:p>
    <w:p w14:paraId="5DB51A74">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36.2评标委员会或者其成员存在下列情形导致评标结果无效的，采购人、采购代理机构可以重新组建评标委员会进行评标，并书面报告本级财政部门，但采购合同已经履行的除外：</w:t>
      </w:r>
    </w:p>
    <w:p w14:paraId="37C9D76D">
      <w:pPr>
        <w:keepNext w:val="0"/>
        <w:keepLines w:val="0"/>
        <w:pageBreakBefore w:val="0"/>
        <w:widowControl w:val="0"/>
        <w:kinsoku/>
        <w:overflowPunct/>
        <w:bidi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（一）评标委员会组成不符合《政府采购货物和服务招标投标管理办法》规定的；</w:t>
      </w:r>
    </w:p>
    <w:p w14:paraId="0C1EBB30">
      <w:pPr>
        <w:keepNext w:val="0"/>
        <w:keepLines w:val="0"/>
        <w:pageBreakBefore w:val="0"/>
        <w:widowControl w:val="0"/>
        <w:kinsoku/>
        <w:overflowPunct/>
        <w:bidi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（二）有《政府采购货物和服务招标投标管理办法》第六十二条第一至五项情形的；</w:t>
      </w:r>
    </w:p>
    <w:p w14:paraId="27A794DC">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（三）评标委员会及其成员独立评标受到非法干预的；</w:t>
      </w:r>
    </w:p>
    <w:p w14:paraId="74409225">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（四）有《中华人民共和国政府采购法实施条例》第七十五条规定的违法行为的。</w:t>
      </w:r>
    </w:p>
    <w:p w14:paraId="57167BA4">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有违法违规行为的原评标委员会成员不得参加重新组建的评标委员会。</w:t>
      </w:r>
    </w:p>
    <w:p w14:paraId="1C9D14F2">
      <w:pPr>
        <w:keepNext w:val="0"/>
        <w:keepLines w:val="0"/>
        <w:pageBreakBefore w:val="0"/>
        <w:widowControl w:val="0"/>
        <w:tabs>
          <w:tab w:val="left" w:pos="567"/>
        </w:tabs>
        <w:kinsoku/>
        <w:overflowPunct/>
        <w:bidi w:val="0"/>
        <w:snapToGrid w:val="0"/>
        <w:spacing w:line="360" w:lineRule="auto"/>
        <w:ind w:firstLine="482"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37.采购项目终止与处理</w:t>
      </w:r>
    </w:p>
    <w:p w14:paraId="52F0F7B4">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37.1采购人、采购代理机构在发布招标公告、资格预审公告或者发出招标公告后，除因重大变故采购任务取消情况外，不得擅自终止招标活动。</w:t>
      </w:r>
    </w:p>
    <w:p w14:paraId="65BAA0EC">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终止招标的，采购代理机构应当及时在原公告发布媒体上发布终止公告，系统中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C4ADB22">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37.2公开招标数额标准以上的采购项目（如分包按包计），投标截止后投标人不足3家或者通过资格审查或符合性审查的投标人不足3家的，除采购任务取消情形外，按照以下方式处理：</w:t>
      </w:r>
    </w:p>
    <w:p w14:paraId="7C4E97C6">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（一）招标文件存在不合理条款或者招标程序不符合规定的，采购人、采购代理机构改正后依法重新招标；</w:t>
      </w:r>
    </w:p>
    <w:p w14:paraId="09829124">
      <w:pPr>
        <w:keepNext w:val="0"/>
        <w:keepLines w:val="0"/>
        <w:pageBreakBefore w:val="0"/>
        <w:widowControl w:val="0"/>
        <w:tabs>
          <w:tab w:val="left" w:pos="567"/>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（二）招标文件没有不合理条款、招标程序符合规定，需要采用其他采购方式采购的，采购人应当依法报财政部门批准。</w:t>
      </w:r>
    </w:p>
    <w:p w14:paraId="3391D2A2">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采购项目（按包计）终止后，评标委员会应做出报告；采购代理机构应当将废标原因通知所有投标人，并依法重新组织采购活动。</w:t>
      </w:r>
    </w:p>
    <w:p w14:paraId="7CF0E018">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37.3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15649430">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38.中标结果公告与中标通知</w:t>
      </w:r>
    </w:p>
    <w:p w14:paraId="670DE0E3">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kern w:val="0"/>
          <w:sz w:val="24"/>
          <w:highlight w:val="none"/>
        </w:rPr>
      </w:pPr>
      <w:r>
        <w:rPr>
          <w:rFonts w:hint="eastAsia" w:ascii="宋体" w:hAnsi="宋体" w:cs="宋体"/>
          <w:color w:val="000000" w:themeColor="text1"/>
          <w:kern w:val="0"/>
          <w:sz w:val="24"/>
          <w:highlight w:val="none"/>
          <w14:textFill>
            <w14:solidFill>
              <w14:schemeClr w14:val="tx1"/>
            </w14:solidFill>
          </w14:textFill>
        </w:rPr>
        <w:t>38.1采购代理机构应当自中标人确定之日起2个工作日内，在</w:t>
      </w:r>
      <w:r>
        <w:rPr>
          <w:rFonts w:hint="eastAsia" w:ascii="宋体" w:hAnsi="宋体" w:cs="宋体"/>
          <w:b/>
          <w:bCs/>
          <w:color w:val="000000" w:themeColor="text1"/>
          <w:kern w:val="0"/>
          <w:sz w:val="24"/>
          <w:highlight w:val="none"/>
          <w:u w:val="single"/>
          <w14:textFill>
            <w14:solidFill>
              <w14:schemeClr w14:val="tx1"/>
            </w14:solidFill>
          </w14:textFill>
        </w:rPr>
        <w:t>中国政府采购网山西分网</w:t>
      </w:r>
      <w:r>
        <w:rPr>
          <w:rFonts w:hint="eastAsia" w:ascii="宋体" w:hAnsi="宋体" w:cs="宋体"/>
          <w:color w:val="000000" w:themeColor="text1"/>
          <w:kern w:val="0"/>
          <w:sz w:val="24"/>
          <w:highlight w:val="none"/>
          <w14:textFill>
            <w14:solidFill>
              <w14:schemeClr w14:val="tx1"/>
            </w14:solidFill>
          </w14:textFill>
        </w:rPr>
        <w:t>上公告中标结果，</w:t>
      </w:r>
      <w:r>
        <w:rPr>
          <w:rFonts w:hint="eastAsia" w:ascii="宋体" w:hAnsi="宋体" w:cs="宋体"/>
          <w:kern w:val="0"/>
          <w:sz w:val="24"/>
          <w:highlight w:val="none"/>
        </w:rPr>
        <w:t>同时通过“山西政府采购平台”向中标人发出电子中标通知书，并将本项目招标文件、中标人提供的《中小企业声明函》或《残疾人企业声明函》或《监狱企业声明函》与</w:t>
      </w:r>
      <w:r>
        <w:rPr>
          <w:rFonts w:hint="eastAsia" w:ascii="宋体" w:hAnsi="宋体" w:cs="宋体"/>
          <w:b/>
          <w:sz w:val="24"/>
          <w:highlight w:val="none"/>
        </w:rPr>
        <w:t>由省级以上监狱管理局、戒毒管理局（含新疆生产建设兵团）出具的属于监狱企业的证明文件</w:t>
      </w:r>
      <w:r>
        <w:rPr>
          <w:rFonts w:hint="eastAsia" w:ascii="宋体" w:hAnsi="宋体" w:cs="宋体"/>
          <w:kern w:val="0"/>
          <w:sz w:val="24"/>
          <w:highlight w:val="none"/>
        </w:rPr>
        <w:t>随结果公告同时发布。中标结果公告应当包括：</w:t>
      </w:r>
    </w:p>
    <w:p w14:paraId="67BF46C3">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（一）项目名称和项目编号；</w:t>
      </w:r>
    </w:p>
    <w:p w14:paraId="10BA5CD9">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（二）中标人名称、地址和中</w:t>
      </w:r>
      <w:r>
        <w:rPr>
          <w:rFonts w:hint="eastAsia" w:ascii="宋体" w:hAnsi="宋体" w:cs="宋体"/>
          <w:kern w:val="0"/>
          <w:sz w:val="24"/>
          <w:highlight w:val="none"/>
          <w:lang w:val="en-US" w:eastAsia="zh-CN"/>
        </w:rPr>
        <w:t>标</w:t>
      </w:r>
      <w:r>
        <w:rPr>
          <w:rFonts w:hint="eastAsia" w:ascii="宋体" w:hAnsi="宋体" w:cs="宋体"/>
          <w:kern w:val="0"/>
          <w:sz w:val="24"/>
          <w:highlight w:val="none"/>
        </w:rPr>
        <w:t>金额</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评审总得分</w:t>
      </w:r>
      <w:r>
        <w:rPr>
          <w:rFonts w:hint="eastAsia" w:ascii="宋体" w:hAnsi="宋体" w:cs="宋体"/>
          <w:kern w:val="0"/>
          <w:sz w:val="24"/>
          <w:highlight w:val="none"/>
        </w:rPr>
        <w:t>；</w:t>
      </w:r>
    </w:p>
    <w:p w14:paraId="72645ADB">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（三）主要中标标的信息：包含标的名称、服务范围</w:t>
      </w:r>
      <w:r>
        <w:rPr>
          <w:rFonts w:hint="eastAsia" w:ascii="宋体" w:hAnsi="宋体" w:cs="宋体"/>
          <w:kern w:val="0"/>
          <w:sz w:val="24"/>
          <w:highlight w:val="none"/>
          <w:lang w:eastAsia="zh-CN"/>
        </w:rPr>
        <w:t>、服务要求、服务时间、服务标准</w:t>
      </w:r>
      <w:r>
        <w:rPr>
          <w:rFonts w:hint="eastAsia" w:ascii="宋体" w:hAnsi="宋体" w:cs="宋体"/>
          <w:kern w:val="0"/>
          <w:sz w:val="24"/>
          <w:highlight w:val="none"/>
        </w:rPr>
        <w:t>等；</w:t>
      </w:r>
    </w:p>
    <w:p w14:paraId="283AA00A">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（四）评标委员会成员名单；</w:t>
      </w:r>
    </w:p>
    <w:p w14:paraId="3F19A14D">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（五）采购代理服务费收费标准及金额；</w:t>
      </w:r>
    </w:p>
    <w:p w14:paraId="31AD48D7">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（六）公告期限；</w:t>
      </w:r>
    </w:p>
    <w:p w14:paraId="7E266E57">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（七）采购人和采购代理机构的名称、地址和联系方式；</w:t>
      </w:r>
    </w:p>
    <w:p w14:paraId="61A5B21F">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kern w:val="0"/>
          <w:sz w:val="24"/>
          <w:highlight w:val="none"/>
        </w:rPr>
        <w:t>（八）其他需要公示的内容。</w:t>
      </w:r>
    </w:p>
    <w:p w14:paraId="7C7A86D9">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38.2除以上公示信息外，采购代理机构对未中标的投标人不做未中标原因的解释。</w:t>
      </w:r>
    </w:p>
    <w:p w14:paraId="77DDC8B7">
      <w:pPr>
        <w:keepNext w:val="0"/>
        <w:keepLines w:val="0"/>
        <w:pageBreakBefore w:val="0"/>
        <w:widowControl w:val="0"/>
        <w:kinsoku/>
        <w:overflowPunct/>
        <w:topLinePunct/>
        <w:bidi w:val="0"/>
        <w:adjustRightInd w:val="0"/>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38.3中标通知书对采购人和中标人具有同等法律效力，是合同的组成部分。</w:t>
      </w:r>
    </w:p>
    <w:p w14:paraId="2101BA97">
      <w:pPr>
        <w:keepNext w:val="0"/>
        <w:keepLines w:val="0"/>
        <w:pageBreakBefore w:val="0"/>
        <w:widowControl w:val="0"/>
        <w:tabs>
          <w:tab w:val="left" w:pos="0"/>
        </w:tabs>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kern w:val="0"/>
          <w:sz w:val="24"/>
          <w:highlight w:val="none"/>
        </w:rPr>
        <w:t>38.4除不可抗力等因素外，中标通知书发出后，采购人改变中标结果或者中标人拒绝签订合同的，应当承担相应的法律责任。</w:t>
      </w:r>
    </w:p>
    <w:p w14:paraId="692327BD">
      <w:pPr>
        <w:keepNext w:val="0"/>
        <w:keepLines w:val="0"/>
        <w:pageBreakBefore w:val="0"/>
        <w:widowControl w:val="0"/>
        <w:tabs>
          <w:tab w:val="left" w:pos="0"/>
        </w:tabs>
        <w:kinsoku/>
        <w:overflowPunct/>
        <w:bidi w:val="0"/>
        <w:snapToGrid w:val="0"/>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39.中标服务费</w:t>
      </w:r>
    </w:p>
    <w:p w14:paraId="720574CF">
      <w:pPr>
        <w:keepNext w:val="0"/>
        <w:keepLines w:val="0"/>
        <w:pageBreakBefore w:val="0"/>
        <w:widowControl w:val="0"/>
        <w:kinsoku/>
        <w:overflowPunct/>
        <w:topLinePunct/>
        <w:bidi w:val="0"/>
        <w:adjustRightInd w:val="0"/>
        <w:snapToGrid w:val="0"/>
        <w:spacing w:line="360" w:lineRule="auto"/>
        <w:ind w:firstLine="475" w:firstLineChars="198"/>
        <w:rPr>
          <w:rFonts w:hint="eastAsia" w:ascii="宋体" w:hAnsi="宋体" w:cs="宋体"/>
          <w:kern w:val="0"/>
          <w:sz w:val="24"/>
          <w:highlight w:val="none"/>
        </w:rPr>
      </w:pPr>
      <w:r>
        <w:rPr>
          <w:rFonts w:hint="eastAsia" w:ascii="宋体" w:hAnsi="宋体" w:cs="宋体"/>
          <w:kern w:val="0"/>
          <w:sz w:val="24"/>
          <w:highlight w:val="none"/>
        </w:rPr>
        <w:t>39.1 收费标准</w:t>
      </w:r>
    </w:p>
    <w:p w14:paraId="02E19C2A">
      <w:pPr>
        <w:keepNext w:val="0"/>
        <w:keepLines w:val="0"/>
        <w:pageBreakBefore w:val="0"/>
        <w:widowControl w:val="0"/>
        <w:kinsoku/>
        <w:overflowPunct/>
        <w:topLinePunct/>
        <w:bidi w:val="0"/>
        <w:adjustRightInd w:val="0"/>
        <w:snapToGrid w:val="0"/>
        <w:spacing w:line="360" w:lineRule="auto"/>
        <w:ind w:firstLine="475" w:firstLineChars="198"/>
        <w:rPr>
          <w:rFonts w:hint="eastAsia" w:ascii="宋体" w:hAnsi="宋体" w:cs="宋体"/>
          <w:kern w:val="0"/>
          <w:sz w:val="24"/>
          <w:highlight w:val="none"/>
        </w:rPr>
      </w:pPr>
      <w:r>
        <w:rPr>
          <w:rFonts w:hint="eastAsia" w:ascii="宋体" w:hAnsi="宋体" w:cs="宋体"/>
          <w:kern w:val="0"/>
          <w:sz w:val="24"/>
          <w:highlight w:val="none"/>
        </w:rPr>
        <w:t>采购代理机构以委托项目</w:t>
      </w:r>
      <w:r>
        <w:rPr>
          <w:rFonts w:hint="eastAsia" w:ascii="宋体" w:hAnsi="宋体" w:cs="宋体"/>
          <w:kern w:val="0"/>
          <w:sz w:val="24"/>
          <w:highlight w:val="none"/>
          <w:lang w:val="en-US" w:eastAsia="zh-CN"/>
        </w:rPr>
        <w:t>预算</w:t>
      </w:r>
      <w:r>
        <w:rPr>
          <w:rFonts w:hint="eastAsia" w:ascii="宋体" w:hAnsi="宋体" w:cs="宋体"/>
          <w:kern w:val="0"/>
          <w:sz w:val="24"/>
          <w:highlight w:val="none"/>
        </w:rPr>
        <w:t>金额为计费依据，参照《招标代理服务收费管理暂行办法》（计价格[2002]1980号）文件的规定，按差额定率累进法计算的服务费计算结果，向中标人收取采购代理服务费。</w:t>
      </w:r>
    </w:p>
    <w:p w14:paraId="7BC5EE83">
      <w:pPr>
        <w:keepNext w:val="0"/>
        <w:keepLines w:val="0"/>
        <w:pageBreakBefore w:val="0"/>
        <w:widowControl w:val="0"/>
        <w:kinsoku/>
        <w:overflowPunct/>
        <w:topLinePunct/>
        <w:bidi w:val="0"/>
        <w:adjustRightInd w:val="0"/>
        <w:snapToGrid w:val="0"/>
        <w:spacing w:line="360" w:lineRule="auto"/>
        <w:ind w:firstLine="475" w:firstLineChars="198"/>
        <w:rPr>
          <w:rFonts w:hint="eastAsia" w:ascii="宋体" w:hAnsi="宋体" w:cs="宋体"/>
          <w:kern w:val="0"/>
          <w:sz w:val="24"/>
          <w:highlight w:val="none"/>
        </w:rPr>
      </w:pPr>
      <w:r>
        <w:rPr>
          <w:rFonts w:hint="eastAsia" w:ascii="宋体" w:hAnsi="宋体" w:cs="宋体"/>
          <w:kern w:val="0"/>
          <w:sz w:val="24"/>
          <w:highlight w:val="none"/>
        </w:rPr>
        <w:t>39.2 中标人在收到中标通知书时，应向采购代理机构一次性付清中标服务费。</w:t>
      </w:r>
    </w:p>
    <w:p w14:paraId="0A6F08E2">
      <w:pPr>
        <w:pStyle w:val="36"/>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ascii="宋体" w:hAnsi="宋体" w:cs="宋体"/>
          <w:b/>
          <w:bCs/>
          <w:color w:val="000000" w:themeColor="text1"/>
          <w:kern w:val="0"/>
          <w:sz w:val="24"/>
          <w:highlight w:val="none"/>
          <w14:textFill>
            <w14:solidFill>
              <w14:schemeClr w14:val="tx1"/>
            </w14:solidFill>
          </w14:textFill>
        </w:rPr>
      </w:pPr>
      <w:bookmarkStart w:id="31" w:name="_Toc12453"/>
      <w:r>
        <w:rPr>
          <w:rFonts w:hint="eastAsia" w:ascii="宋体" w:hAnsi="宋体" w:cs="宋体"/>
          <w:b/>
          <w:bCs/>
          <w:color w:val="000000" w:themeColor="text1"/>
          <w:kern w:val="0"/>
          <w:sz w:val="24"/>
          <w:highlight w:val="none"/>
          <w14:textFill>
            <w14:solidFill>
              <w14:schemeClr w14:val="tx1"/>
            </w14:solidFill>
          </w14:textFill>
        </w:rPr>
        <w:t>采购代理机构账户信息</w:t>
      </w:r>
    </w:p>
    <w:p w14:paraId="5F859225">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2" w:firstLineChars="200"/>
        <w:textAlignment w:val="auto"/>
        <w:outlineLvl w:val="9"/>
        <w:rPr>
          <w:rFonts w:ascii="Times New Roman" w:hAnsi="Times New Roman"/>
          <w:b/>
          <w:bCs w:val="0"/>
          <w:color w:val="000000"/>
          <w:sz w:val="24"/>
          <w:szCs w:val="24"/>
          <w:highlight w:val="none"/>
        </w:rPr>
      </w:pPr>
      <w:r>
        <w:rPr>
          <w:rFonts w:ascii="Times New Roman" w:hAnsi="Times New Roman"/>
          <w:b/>
          <w:bCs w:val="0"/>
          <w:color w:val="000000"/>
          <w:sz w:val="24"/>
          <w:szCs w:val="24"/>
          <w:highlight w:val="none"/>
        </w:rPr>
        <w:t>收款单位：</w:t>
      </w:r>
      <w:r>
        <w:rPr>
          <w:rFonts w:ascii="Times New Roman" w:hAnsi="Times New Roman"/>
          <w:b/>
          <w:bCs w:val="0"/>
          <w:color w:val="000000"/>
          <w:kern w:val="0"/>
          <w:sz w:val="24"/>
          <w:szCs w:val="24"/>
          <w:highlight w:val="none"/>
        </w:rPr>
        <w:t>太原市宜达科技服务有限公司</w:t>
      </w:r>
    </w:p>
    <w:p w14:paraId="1010AB33">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2" w:firstLineChars="200"/>
        <w:textAlignment w:val="auto"/>
        <w:outlineLvl w:val="9"/>
        <w:rPr>
          <w:rFonts w:ascii="Times New Roman" w:hAnsi="Times New Roman"/>
          <w:b/>
          <w:bCs w:val="0"/>
          <w:color w:val="000000"/>
          <w:sz w:val="24"/>
          <w:szCs w:val="24"/>
          <w:highlight w:val="none"/>
        </w:rPr>
      </w:pPr>
      <w:r>
        <w:rPr>
          <w:rFonts w:ascii="Times New Roman" w:hAnsi="Times New Roman"/>
          <w:b/>
          <w:bCs w:val="0"/>
          <w:color w:val="000000"/>
          <w:sz w:val="24"/>
          <w:szCs w:val="24"/>
          <w:highlight w:val="none"/>
        </w:rPr>
        <w:t>开 户 行：</w:t>
      </w:r>
      <w:r>
        <w:rPr>
          <w:rFonts w:ascii="Times New Roman" w:hAnsi="Times New Roman"/>
          <w:b/>
          <w:bCs w:val="0"/>
          <w:color w:val="000000"/>
          <w:kern w:val="0"/>
          <w:sz w:val="24"/>
          <w:szCs w:val="24"/>
          <w:highlight w:val="none"/>
        </w:rPr>
        <w:t>中国民生银行股份有限公司太原亲贤北街支行</w:t>
      </w:r>
    </w:p>
    <w:p w14:paraId="4302B368">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2" w:firstLineChars="200"/>
        <w:textAlignment w:val="auto"/>
        <w:outlineLvl w:val="9"/>
        <w:rPr>
          <w:rFonts w:ascii="Times New Roman" w:hAnsi="Times New Roman"/>
          <w:b/>
          <w:bCs w:val="0"/>
          <w:color w:val="000000"/>
          <w:sz w:val="24"/>
          <w:szCs w:val="24"/>
          <w:highlight w:val="none"/>
        </w:rPr>
      </w:pPr>
      <w:r>
        <w:rPr>
          <w:rFonts w:ascii="Times New Roman" w:hAnsi="Times New Roman"/>
          <w:b/>
          <w:bCs w:val="0"/>
          <w:color w:val="000000"/>
          <w:sz w:val="24"/>
          <w:szCs w:val="24"/>
          <w:highlight w:val="none"/>
        </w:rPr>
        <w:t>账    号：</w:t>
      </w:r>
      <w:r>
        <w:rPr>
          <w:rFonts w:ascii="Times New Roman" w:hAnsi="Times New Roman"/>
          <w:b/>
          <w:bCs w:val="0"/>
          <w:color w:val="000000"/>
          <w:kern w:val="0"/>
          <w:sz w:val="24"/>
          <w:szCs w:val="24"/>
          <w:highlight w:val="none"/>
        </w:rPr>
        <w:t>9902 0002 5367 4220</w:t>
      </w:r>
    </w:p>
    <w:p w14:paraId="4EE67E03">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2" w:firstLineChars="200"/>
        <w:textAlignment w:val="auto"/>
        <w:outlineLvl w:val="9"/>
        <w:rPr>
          <w:rFonts w:ascii="Times New Roman" w:hAnsi="Times New Roman"/>
          <w:b/>
          <w:bCs w:val="0"/>
          <w:color w:val="000000"/>
          <w:sz w:val="24"/>
          <w:szCs w:val="24"/>
          <w:highlight w:val="none"/>
        </w:rPr>
      </w:pPr>
      <w:r>
        <w:rPr>
          <w:rFonts w:ascii="Times New Roman" w:hAnsi="Times New Roman"/>
          <w:b/>
          <w:bCs w:val="0"/>
          <w:color w:val="000000"/>
          <w:sz w:val="24"/>
          <w:szCs w:val="24"/>
          <w:highlight w:val="none"/>
        </w:rPr>
        <w:t>开户行号：</w:t>
      </w:r>
      <w:r>
        <w:rPr>
          <w:rFonts w:ascii="Times New Roman" w:hAnsi="Times New Roman"/>
          <w:b/>
          <w:bCs w:val="0"/>
          <w:color w:val="000000"/>
          <w:kern w:val="0"/>
          <w:sz w:val="24"/>
          <w:szCs w:val="24"/>
          <w:highlight w:val="none"/>
        </w:rPr>
        <w:t>3051 6100 9063</w:t>
      </w:r>
    </w:p>
    <w:p w14:paraId="27E66C00">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0" w:firstLineChars="200"/>
        <w:textAlignment w:val="auto"/>
        <w:outlineLvl w:val="9"/>
        <w:rPr>
          <w:rFonts w:ascii="Times New Roman" w:hAnsi="Times New Roman"/>
          <w:b w:val="0"/>
          <w:bCs/>
          <w:color w:val="000000"/>
          <w:sz w:val="24"/>
          <w:szCs w:val="24"/>
          <w:highlight w:val="none"/>
        </w:rPr>
      </w:pPr>
      <w:r>
        <w:rPr>
          <w:rFonts w:ascii="Times New Roman" w:hAnsi="Times New Roman"/>
          <w:b w:val="0"/>
          <w:bCs/>
          <w:color w:val="000000"/>
          <w:sz w:val="24"/>
          <w:szCs w:val="24"/>
          <w:highlight w:val="none"/>
        </w:rPr>
        <w:t>财务联系人：</w:t>
      </w:r>
      <w:r>
        <w:rPr>
          <w:rFonts w:ascii="Times New Roman" w:hAnsi="Times New Roman"/>
          <w:b w:val="0"/>
          <w:bCs/>
          <w:color w:val="000000"/>
          <w:kern w:val="0"/>
          <w:sz w:val="24"/>
          <w:szCs w:val="24"/>
          <w:highlight w:val="none"/>
        </w:rPr>
        <w:t>乔女士</w:t>
      </w:r>
    </w:p>
    <w:p w14:paraId="4F44CEAE">
      <w:pPr>
        <w:pStyle w:val="33"/>
        <w:keepNext w:val="0"/>
        <w:keepLines w:val="0"/>
        <w:pageBreakBefore w:val="0"/>
        <w:widowControl w:val="0"/>
        <w:kinsoku/>
        <w:wordWrap/>
        <w:overflowPunct/>
        <w:topLinePunct w:val="0"/>
        <w:autoSpaceDE/>
        <w:autoSpaceDN/>
        <w:bidi w:val="0"/>
        <w:adjustRightInd/>
        <w:spacing w:before="0" w:after="0" w:line="360" w:lineRule="auto"/>
        <w:ind w:right="-94" w:rightChars="-45" w:firstLine="480" w:firstLineChars="200"/>
        <w:textAlignment w:val="auto"/>
        <w:outlineLvl w:val="9"/>
        <w:rPr>
          <w:rFonts w:ascii="Times New Roman" w:hAnsi="Times New Roman"/>
          <w:b w:val="0"/>
          <w:bCs/>
          <w:color w:val="000000"/>
          <w:kern w:val="0"/>
          <w:sz w:val="24"/>
          <w:szCs w:val="24"/>
          <w:highlight w:val="none"/>
        </w:rPr>
      </w:pPr>
      <w:r>
        <w:rPr>
          <w:rFonts w:ascii="Times New Roman" w:hAnsi="Times New Roman"/>
          <w:b w:val="0"/>
          <w:bCs/>
          <w:color w:val="000000"/>
          <w:sz w:val="24"/>
          <w:szCs w:val="24"/>
          <w:highlight w:val="none"/>
        </w:rPr>
        <w:t>联系电话：</w:t>
      </w:r>
      <w:r>
        <w:rPr>
          <w:rFonts w:ascii="Times New Roman" w:hAnsi="Times New Roman"/>
          <w:b w:val="0"/>
          <w:bCs/>
          <w:color w:val="000000"/>
          <w:kern w:val="0"/>
          <w:sz w:val="24"/>
          <w:szCs w:val="24"/>
          <w:highlight w:val="none"/>
        </w:rPr>
        <w:t>0351-7031330</w:t>
      </w:r>
    </w:p>
    <w:p w14:paraId="0B3D8E5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ascii="宋体" w:hAnsi="宋体" w:cs="宋体"/>
          <w:b/>
          <w:color w:val="000000" w:themeColor="text1"/>
          <w:kern w:val="0"/>
          <w:sz w:val="24"/>
          <w:highlight w:val="none"/>
          <w14:textFill>
            <w14:solidFill>
              <w14:schemeClr w14:val="tx1"/>
            </w14:solidFill>
          </w14:textFill>
        </w:rPr>
      </w:pPr>
      <w:bookmarkStart w:id="32" w:name="_Toc180347459"/>
      <w:r>
        <w:rPr>
          <w:rFonts w:hint="eastAsia" w:ascii="宋体" w:hAnsi="宋体" w:cs="宋体"/>
          <w:b/>
          <w:color w:val="000000" w:themeColor="text1"/>
          <w:kern w:val="0"/>
          <w:sz w:val="24"/>
          <w:highlight w:val="none"/>
          <w14:textFill>
            <w14:solidFill>
              <w14:schemeClr w14:val="tx1"/>
            </w14:solidFill>
          </w14:textFill>
        </w:rPr>
        <w:t>八、签订合同</w:t>
      </w:r>
      <w:bookmarkEnd w:id="31"/>
      <w:bookmarkEnd w:id="32"/>
    </w:p>
    <w:p w14:paraId="7D99E279">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2"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40</w:t>
      </w:r>
      <w:r>
        <w:rPr>
          <w:rFonts w:hint="eastAsia" w:ascii="宋体" w:hAnsi="宋体" w:cs="宋体"/>
          <w:b/>
          <w:bCs/>
          <w:color w:val="000000" w:themeColor="text1"/>
          <w:kern w:val="0"/>
          <w:sz w:val="24"/>
          <w:highlight w:val="none"/>
          <w14:textFill>
            <w14:solidFill>
              <w14:schemeClr w14:val="tx1"/>
            </w14:solidFill>
          </w14:textFill>
        </w:rPr>
        <w:t>.签订合同</w:t>
      </w:r>
    </w:p>
    <w:p w14:paraId="678FAE48">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40.1</w:t>
      </w:r>
      <w:r>
        <w:rPr>
          <w:rFonts w:hint="eastAsia" w:ascii="宋体" w:hAnsi="宋体" w:cs="宋体"/>
          <w:kern w:val="0"/>
          <w:sz w:val="24"/>
          <w:highlight w:val="none"/>
        </w:rPr>
        <w:t>采购人与中标人应当在中标通知书发出后10日内签订政府采购合同，最长不得超过30日，</w:t>
      </w:r>
      <w:r>
        <w:rPr>
          <w:rFonts w:hint="eastAsia" w:ascii="宋体" w:hAnsi="宋体" w:cs="宋体"/>
          <w:color w:val="000000" w:themeColor="text1"/>
          <w:kern w:val="0"/>
          <w:sz w:val="24"/>
          <w:highlight w:val="none"/>
          <w14:textFill>
            <w14:solidFill>
              <w14:schemeClr w14:val="tx1"/>
            </w14:solidFill>
          </w14:textFill>
        </w:rPr>
        <w:t>按照招标文件和中标人投标文件的规定及评标过程中的有关澄清、说明或者补正文件的内容，与中标人签订政府采购合同。所签订的合同不得对招标文件确定的事项和中标人的投标文件作实质性修改。</w:t>
      </w:r>
    </w:p>
    <w:p w14:paraId="455517FB">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40.2采购人不得向中标人提出任何不合理的要求作为签订合同的条件。</w:t>
      </w:r>
    </w:p>
    <w:p w14:paraId="5156740F">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40.3在合同履行中，采购人如需追加与合同标的相同的货物</w:t>
      </w:r>
      <w:r>
        <w:rPr>
          <w:rFonts w:hint="eastAsia" w:ascii="宋体" w:hAnsi="宋体" w:cs="宋体"/>
          <w:color w:val="000000" w:themeColor="text1"/>
          <w:kern w:val="0"/>
          <w:sz w:val="24"/>
          <w:highlight w:val="none"/>
          <w:lang w:val="en-US" w:eastAsia="zh-CN"/>
          <w14:textFill>
            <w14:solidFill>
              <w14:schemeClr w14:val="tx1"/>
            </w14:solidFill>
          </w14:textFill>
        </w:rPr>
        <w:t>或服务</w:t>
      </w:r>
      <w:r>
        <w:rPr>
          <w:rFonts w:hint="eastAsia" w:ascii="宋体" w:hAnsi="宋体" w:cs="宋体"/>
          <w:color w:val="000000" w:themeColor="text1"/>
          <w:kern w:val="0"/>
          <w:sz w:val="24"/>
          <w:highlight w:val="none"/>
          <w14:textFill>
            <w14:solidFill>
              <w14:schemeClr w14:val="tx1"/>
            </w14:solidFill>
          </w14:textFill>
        </w:rPr>
        <w:t xml:space="preserve">，在不改变合同其他条款的前提下，采购人可与中标人协商签订补充合同，但所有补充合同的采购金额不得超过原合同金额的百分之十。 </w:t>
      </w:r>
    </w:p>
    <w:p w14:paraId="1144CA57">
      <w:pPr>
        <w:pStyle w:val="34"/>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40.4投标人根据招标文件的规定和采购项目的实际情况，拟在中标后将中标项目的非主体、非关键性工作分包的，应当在投标文件中载明分包承担主体，分包承担主体应当具备相应资质条件且不得再次分包。</w:t>
      </w:r>
    </w:p>
    <w:p w14:paraId="025AD50D">
      <w:pPr>
        <w:pStyle w:val="34"/>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40.5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47B69277">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40.6采购人与中标人应当根据合同的约定依法履行合同义务。</w:t>
      </w:r>
    </w:p>
    <w:p w14:paraId="74F10D7E">
      <w:pPr>
        <w:keepNext w:val="0"/>
        <w:keepLines w:val="0"/>
        <w:pageBreakBefore w:val="0"/>
        <w:widowControl w:val="0"/>
        <w:tabs>
          <w:tab w:val="left" w:pos="567"/>
        </w:tabs>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40.7中标人应当自合同或补充合同签订之日起五个工作日内，将合同报采购代理机构存档，采购人自合同签订之日起2个工作日内在</w:t>
      </w:r>
      <w:r>
        <w:rPr>
          <w:rFonts w:hint="eastAsia" w:ascii="宋体" w:hAnsi="宋体" w:cs="宋体"/>
          <w:b/>
          <w:color w:val="000000" w:themeColor="text1"/>
          <w:kern w:val="0"/>
          <w:sz w:val="24"/>
          <w:highlight w:val="none"/>
          <w:u w:val="single"/>
          <w14:textFill>
            <w14:solidFill>
              <w14:schemeClr w14:val="tx1"/>
            </w14:solidFill>
          </w14:textFill>
        </w:rPr>
        <w:t>中国政府采购网山西分网</w:t>
      </w:r>
      <w:r>
        <w:rPr>
          <w:rFonts w:hint="eastAsia" w:ascii="宋体" w:hAnsi="宋体" w:cs="宋体"/>
          <w:color w:val="000000" w:themeColor="text1"/>
          <w:kern w:val="0"/>
          <w:sz w:val="24"/>
          <w:highlight w:val="none"/>
          <w14:textFill>
            <w14:solidFill>
              <w14:schemeClr w14:val="tx1"/>
            </w14:solidFill>
          </w14:textFill>
        </w:rPr>
        <w:t>进行公示。</w:t>
      </w:r>
    </w:p>
    <w:p w14:paraId="6F0E8BDD">
      <w:pPr>
        <w:keepNext w:val="0"/>
        <w:keepLines w:val="0"/>
        <w:pageBreakBefore w:val="0"/>
        <w:widowControl w:val="0"/>
        <w:kinsoku/>
        <w:wordWrap/>
        <w:overflowPunct/>
        <w:topLinePunct/>
        <w:autoSpaceDE/>
        <w:autoSpaceDN/>
        <w:bidi w:val="0"/>
        <w:adjustRightInd/>
        <w:snapToGrid w:val="0"/>
        <w:spacing w:line="360" w:lineRule="auto"/>
        <w:ind w:firstLine="482" w:firstLineChars="200"/>
        <w:textAlignment w:val="auto"/>
        <w:outlineLvl w:val="1"/>
        <w:rPr>
          <w:rFonts w:ascii="宋体" w:hAnsi="宋体" w:cs="宋体"/>
          <w:b/>
          <w:color w:val="000000" w:themeColor="text1"/>
          <w:kern w:val="0"/>
          <w:sz w:val="24"/>
          <w:highlight w:val="none"/>
          <w14:textFill>
            <w14:solidFill>
              <w14:schemeClr w14:val="tx1"/>
            </w14:solidFill>
          </w14:textFill>
        </w:rPr>
      </w:pPr>
      <w:bookmarkStart w:id="33" w:name="_Toc180347460"/>
      <w:bookmarkStart w:id="34" w:name="_Toc1122"/>
      <w:r>
        <w:rPr>
          <w:rFonts w:hint="eastAsia" w:ascii="宋体" w:hAnsi="宋体" w:cs="宋体"/>
          <w:b/>
          <w:color w:val="000000" w:themeColor="text1"/>
          <w:kern w:val="0"/>
          <w:sz w:val="24"/>
          <w:highlight w:val="none"/>
          <w14:textFill>
            <w14:solidFill>
              <w14:schemeClr w14:val="tx1"/>
            </w14:solidFill>
          </w14:textFill>
        </w:rPr>
        <w:t>九、保密和披露</w:t>
      </w:r>
      <w:bookmarkEnd w:id="33"/>
      <w:bookmarkEnd w:id="34"/>
    </w:p>
    <w:p w14:paraId="74037FD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41.1采购人、采购代理机构自发布招标公告之日至发布结果公告前，对获悉的参加本项目的投标人名称、数量以及评标委员会成员等所有信息等负有保密义务。</w:t>
      </w:r>
    </w:p>
    <w:p w14:paraId="152A9BC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41.2投标人对投标过程中获得的任何信息承担保密义务，不得向第三方外传。</w:t>
      </w:r>
    </w:p>
    <w:p w14:paraId="1D7653C6">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rPr>
          <w:rFonts w:ascii="宋体" w:hAnsi="宋体" w:cs="宋体"/>
          <w:sz w:val="24"/>
          <w:highlight w:val="none"/>
        </w:rPr>
      </w:pPr>
      <w:r>
        <w:rPr>
          <w:rFonts w:hint="eastAsia" w:ascii="宋体" w:hAnsi="宋体" w:cs="宋体"/>
          <w:b/>
          <w:bCs/>
          <w:kern w:val="0"/>
          <w:sz w:val="24"/>
          <w:highlight w:val="none"/>
        </w:rPr>
        <w:t>41.3参加评审的相关人员，对评审情况以及在评审过程中获悉的国家秘密、商业秘密负有保密责任。</w:t>
      </w:r>
    </w:p>
    <w:p w14:paraId="0DD66DD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41.4采购人、采购代理机构在国家机关调查、审查、审计、处理投诉等事宜以及其他符合规定的情形时，无须事先征求投标人同意可向有关部门披露关于本项目（包）评审过程的资料与有关信息。</w:t>
      </w:r>
    </w:p>
    <w:p w14:paraId="660C3CC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41.5采购人、采购代理机构对任何已经公布过的内容或与之内容相同的资料，无须再承担保密责任。</w:t>
      </w:r>
    </w:p>
    <w:p w14:paraId="2B6CE533">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outlineLvl w:val="1"/>
        <w:rPr>
          <w:rFonts w:ascii="宋体" w:hAnsi="宋体" w:cs="宋体"/>
          <w:b/>
          <w:kern w:val="0"/>
          <w:sz w:val="24"/>
          <w:highlight w:val="none"/>
        </w:rPr>
      </w:pPr>
      <w:bookmarkStart w:id="35" w:name="_Toc180347461"/>
      <w:bookmarkStart w:id="36" w:name="_Toc16953"/>
      <w:r>
        <w:rPr>
          <w:rFonts w:hint="eastAsia" w:ascii="宋体" w:hAnsi="宋体" w:cs="宋体"/>
          <w:b/>
          <w:kern w:val="0"/>
          <w:sz w:val="24"/>
          <w:highlight w:val="none"/>
        </w:rPr>
        <w:t>十、询问和质疑</w:t>
      </w:r>
      <w:bookmarkEnd w:id="35"/>
      <w:bookmarkEnd w:id="36"/>
    </w:p>
    <w:p w14:paraId="154EDD9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bookmarkStart w:id="37" w:name="_Toc15302"/>
      <w:r>
        <w:rPr>
          <w:rFonts w:hint="eastAsia" w:ascii="宋体" w:hAnsi="宋体" w:cs="宋体"/>
          <w:sz w:val="24"/>
          <w:highlight w:val="none"/>
        </w:rPr>
        <w:t>42.评审程序受本文件及相关法律法规的约束，并受到上级主管部门严格的监督，为确保授予合同过程的公平公正，投标人有权就本招标项目事宜按以下要求提出询问或质疑。</w:t>
      </w:r>
    </w:p>
    <w:p w14:paraId="6C83713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42.1投标人对本招标文件、评审活动事项有疑问的，应通过“山西政府采购平台”中的“项目质疑管理”程序在线向采购人或采购代理机构提出询问或质疑。</w:t>
      </w:r>
    </w:p>
    <w:p w14:paraId="13BDED8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42.2投标人在质疑期内，应当一次性提出针对同一评审程序环节的质疑；</w:t>
      </w:r>
    </w:p>
    <w:p w14:paraId="524881C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42.3投标人认为本招标文件、评审过程、中标结果使自己的合法权益受到损害的，可以在知道或者应知其权益受到损害之日起7个工作日内提出；</w:t>
      </w:r>
    </w:p>
    <w:p w14:paraId="7F992FE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42.4提出质疑的投标人应当是参与本项目投标活动的投标人；</w:t>
      </w:r>
    </w:p>
    <w:p w14:paraId="630D632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潜在投标人已依法获取其可质疑的招标文件的，可以对该文件提出质疑。对招标文件提出质疑的，应当在获取招标文件或者招标公告期限届满之日起7个工作日内提出；</w:t>
      </w:r>
    </w:p>
    <w:p w14:paraId="31B9F82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42.5提出质疑的投标人为自然人的，应当加盖本人电子签章；为法人或者其他组织的，应当加盖法定代表人、主要负责人或者参加本项目的授权代表或授权委托代理人的电子签章，并加盖CA数字证书电子印章；</w:t>
      </w:r>
    </w:p>
    <w:p w14:paraId="6D1BB1A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42.6投标人提出质疑应当提交质疑函和必要的证明材料。质疑函应当包括以下主要内容：</w:t>
      </w:r>
    </w:p>
    <w:p w14:paraId="44D3A36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42.6.1投标人的姓名或者名称、地址、邮编、联系人及联系电话；</w:t>
      </w:r>
    </w:p>
    <w:p w14:paraId="7A3D9FF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42.6.2质疑项目名称、编号、包号；</w:t>
      </w:r>
    </w:p>
    <w:p w14:paraId="5B74454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42.6.3具体、明确的质疑事项和与质疑事项相关的请求；</w:t>
      </w:r>
    </w:p>
    <w:p w14:paraId="6FC214E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42.6.4事实依据；</w:t>
      </w:r>
    </w:p>
    <w:p w14:paraId="47ED572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42.6.5必要的法律依据；</w:t>
      </w:r>
    </w:p>
    <w:p w14:paraId="7A2254E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42.6.6提出质疑的日期。</w:t>
      </w:r>
    </w:p>
    <w:p w14:paraId="3D164FD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42.7投标人在线提起质疑应如实填写“项目质疑管理”程序“质疑列表”中有关质疑事项的全部内容，并按系统要求的文件格式上传必要的证明材料扫描件或图片；在线质疑由投标人委托代理人提起的，还需上传授权委托书及被委托人身份证明，授权委托书应当载明委托人及被委托人的姓名或名称、代理事项、具体权限、期限等。</w:t>
      </w:r>
    </w:p>
    <w:p w14:paraId="18FE21B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42.8有下列情形之一的，采购代理机构或采购人应当在“山西政府采购平台”的“项目质疑管理”程序中的“受理内容”处标明“退回补正”，并说明“原因”：</w:t>
      </w:r>
    </w:p>
    <w:p w14:paraId="329E83F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42.8.1质疑未按4</w:t>
      </w:r>
      <w:r>
        <w:rPr>
          <w:rFonts w:hint="eastAsia" w:ascii="宋体" w:hAnsi="宋体" w:cs="宋体"/>
          <w:sz w:val="24"/>
          <w:highlight w:val="none"/>
          <w:lang w:val="en-US" w:eastAsia="zh-CN"/>
        </w:rPr>
        <w:t>2</w:t>
      </w:r>
      <w:r>
        <w:rPr>
          <w:rFonts w:hint="eastAsia" w:ascii="宋体" w:hAnsi="宋体" w:cs="宋体"/>
          <w:sz w:val="24"/>
          <w:highlight w:val="none"/>
        </w:rPr>
        <w:t>.6、4</w:t>
      </w:r>
      <w:r>
        <w:rPr>
          <w:rFonts w:hint="eastAsia" w:ascii="宋体" w:hAnsi="宋体" w:cs="宋体"/>
          <w:sz w:val="24"/>
          <w:highlight w:val="none"/>
          <w:lang w:val="en-US" w:eastAsia="zh-CN"/>
        </w:rPr>
        <w:t>2</w:t>
      </w:r>
      <w:r>
        <w:rPr>
          <w:rFonts w:hint="eastAsia" w:ascii="宋体" w:hAnsi="宋体" w:cs="宋体"/>
          <w:sz w:val="24"/>
          <w:highlight w:val="none"/>
        </w:rPr>
        <w:t>.7的要求提出的；</w:t>
      </w:r>
    </w:p>
    <w:p w14:paraId="011B9E3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42.8.2质疑未按4</w:t>
      </w:r>
      <w:r>
        <w:rPr>
          <w:rFonts w:hint="eastAsia" w:ascii="宋体" w:hAnsi="宋体" w:cs="宋体"/>
          <w:sz w:val="24"/>
          <w:highlight w:val="none"/>
          <w:lang w:val="en-US" w:eastAsia="zh-CN"/>
        </w:rPr>
        <w:t>2</w:t>
      </w:r>
      <w:r>
        <w:rPr>
          <w:rFonts w:hint="eastAsia" w:ascii="宋体" w:hAnsi="宋体" w:cs="宋体"/>
          <w:sz w:val="24"/>
          <w:highlight w:val="none"/>
        </w:rPr>
        <w:t>.5要求签章的；</w:t>
      </w:r>
    </w:p>
    <w:p w14:paraId="14FB8F9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42.8.3其它不符合要求的质疑情形。</w:t>
      </w:r>
    </w:p>
    <w:p w14:paraId="4E33157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42.9存在以下情形的，投标人的质疑采购代理机构或采购人不予受理：</w:t>
      </w:r>
    </w:p>
    <w:p w14:paraId="65BD99C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42.9.1潜在投标人未依法获取其可质疑的招标文件，对招标文件进行质疑的；</w:t>
      </w:r>
    </w:p>
    <w:p w14:paraId="2A8D8B6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42.9.2投标人在法定质疑期内针对同一采购程序环节重复提出的质疑；</w:t>
      </w:r>
    </w:p>
    <w:p w14:paraId="079F7BE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42.9.3未参加本项目投标活动的投标人针对采购过程、中标结果提出质疑的；</w:t>
      </w:r>
    </w:p>
    <w:p w14:paraId="6F71800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sz w:val="24"/>
          <w:highlight w:val="none"/>
        </w:rPr>
        <w:t>42.9.4超过42.3、42.4规定质疑期发出的质疑。</w:t>
      </w:r>
    </w:p>
    <w:p w14:paraId="7F77B92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42.10采购代理机构或采购人不得拒收质疑投标人在法定质疑期内发出的质疑函，应当在收到质疑函后7个工作日内做出答复，并通过“山西政府采购平台”通知质疑投标人和其他有关投标人。</w:t>
      </w:r>
    </w:p>
    <w:p w14:paraId="615299D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42.11投标人对采购过程、中标结果提出质疑的，采购代理机构或采购人可以组织原评标委员会协助答复质疑。</w:t>
      </w:r>
    </w:p>
    <w:p w14:paraId="37E7231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42.12质疑答复应当包含以下内容：</w:t>
      </w:r>
    </w:p>
    <w:p w14:paraId="2A4628A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293502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42.13采购人、采购代理机构认为投标人质疑不成立，或者成立但未对中标结果构成影响的，继续开展采购活动；认为投标人质疑成立且影响或者可能影响中标结果的，按照下列情况处理：</w:t>
      </w:r>
    </w:p>
    <w:p w14:paraId="36C89B0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42.13.1对招标文件提出的质疑，通过澄清或者修改可以继续开展采购活动；否则应当修改招标文件后重新开展活动。</w:t>
      </w:r>
    </w:p>
    <w:p w14:paraId="3F7DC32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42.13.2对采购过程、中标结果提出的质疑，合格投标人符合规定数量时，可以从合格的中标候选人中另行确定中标人的，应当另行确定中标人；否则应当重新开展采购活动。</w:t>
      </w:r>
    </w:p>
    <w:p w14:paraId="2EB8C10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质疑答复导致中标结果改变的，采购代理机构应当将有关情况书面报告相关部门。</w:t>
      </w:r>
    </w:p>
    <w:p w14:paraId="03D1A3A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42.14质疑投标人对采购人、采购代理机构的答复不满意，或者采购代理机构未在规定的时间内做出答复的，可以在答复期满后15个工作日内向相关部门投诉。</w:t>
      </w:r>
    </w:p>
    <w:p w14:paraId="5158027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42.15接收质疑函的联系方式：</w:t>
      </w:r>
    </w:p>
    <w:p w14:paraId="6B779B5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kern w:val="0"/>
          <w:sz w:val="24"/>
          <w:highlight w:val="none"/>
        </w:rPr>
      </w:pPr>
      <w:bookmarkStart w:id="38" w:name="_Toc180347462"/>
      <w:r>
        <w:rPr>
          <w:rFonts w:hint="eastAsia" w:ascii="宋体" w:hAnsi="宋体" w:eastAsia="宋体" w:cs="宋体"/>
          <w:kern w:val="0"/>
          <w:sz w:val="24"/>
          <w:highlight w:val="none"/>
        </w:rPr>
        <w:t>联系单位：太原市宜达科技服务有限公司</w:t>
      </w:r>
    </w:p>
    <w:p w14:paraId="4A6A72B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单位地址：太原市高新区创业街天和科技5层</w:t>
      </w:r>
    </w:p>
    <w:p w14:paraId="6A328A9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联 系 人：王女士</w:t>
      </w:r>
    </w:p>
    <w:p w14:paraId="61F03E1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联系电话：0351-7031330</w:t>
      </w:r>
    </w:p>
    <w:p w14:paraId="2CB82824">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outlineLvl w:val="1"/>
        <w:rPr>
          <w:rFonts w:ascii="宋体" w:hAnsi="宋体" w:cs="宋体"/>
          <w:b/>
          <w:kern w:val="0"/>
          <w:sz w:val="24"/>
          <w:highlight w:val="none"/>
        </w:rPr>
      </w:pPr>
      <w:r>
        <w:rPr>
          <w:rFonts w:hint="eastAsia" w:ascii="宋体" w:hAnsi="宋体" w:cs="宋体"/>
          <w:b/>
          <w:kern w:val="0"/>
          <w:sz w:val="24"/>
          <w:highlight w:val="none"/>
        </w:rPr>
        <w:t>十一、违法违规</w:t>
      </w:r>
      <w:bookmarkEnd w:id="37"/>
      <w:r>
        <w:rPr>
          <w:rFonts w:hint="eastAsia" w:ascii="宋体" w:hAnsi="宋体" w:cs="宋体"/>
          <w:b/>
          <w:kern w:val="0"/>
          <w:sz w:val="24"/>
          <w:highlight w:val="none"/>
        </w:rPr>
        <w:t>行为</w:t>
      </w:r>
      <w:bookmarkEnd w:id="38"/>
    </w:p>
    <w:p w14:paraId="4A1A152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43.投标人违法违规行为：</w:t>
      </w:r>
    </w:p>
    <w:p w14:paraId="296386C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（1）向评标委员会成员行贿或者提供其他不正当收益的；</w:t>
      </w:r>
    </w:p>
    <w:p w14:paraId="7345806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（2）未按照采购文件确定的事项签订政府采购合同，或者与采购人另行订立背离合同实质性内容的协议的；</w:t>
      </w:r>
    </w:p>
    <w:p w14:paraId="17B7FF9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（3）中标后无正当理由拒不与采购人签订政府采购合同的；</w:t>
      </w:r>
    </w:p>
    <w:p w14:paraId="57262BC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（4）拒绝履行合同义务的；</w:t>
      </w:r>
    </w:p>
    <w:p w14:paraId="513EA33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（5）未按约定将政府采购合同分包、转包的；</w:t>
      </w:r>
    </w:p>
    <w:p w14:paraId="2E1978D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（6）擅自变更、中止或者终止政府采购合同的；</w:t>
      </w:r>
    </w:p>
    <w:p w14:paraId="60C8892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（7）提供假冒伪劣产品的；</w:t>
      </w:r>
    </w:p>
    <w:p w14:paraId="7A8FE6C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（8）在评审期间，投标人企图影响采购代理机构或评标委员会的任何活动的；</w:t>
      </w:r>
    </w:p>
    <w:p w14:paraId="6A1A0CC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（9）法律法规规定的其他违法违规行为。</w:t>
      </w:r>
    </w:p>
    <w:p w14:paraId="1ADE8A3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44.采购人违法违规行为：</w:t>
      </w:r>
    </w:p>
    <w:p w14:paraId="0BF1F98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（1）以不合理条件对投标人实行差别待遇或者歧视待遇的；</w:t>
      </w:r>
    </w:p>
    <w:p w14:paraId="7B538C7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（2）与投标人恶意串通的；</w:t>
      </w:r>
    </w:p>
    <w:p w14:paraId="413C384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（3）中标通知书发出后不与中标人签订政府采购合同；</w:t>
      </w:r>
    </w:p>
    <w:p w14:paraId="563B79C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（4）未按照采购文件确定的事项签订政府采购合同，或者与中标人另行订立背离合同实质性内容的协议的；</w:t>
      </w:r>
    </w:p>
    <w:p w14:paraId="19FA2D9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（5）擅自变更、中止或者终止政府采购合同的；</w:t>
      </w:r>
    </w:p>
    <w:p w14:paraId="3D9F944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（6）在采购过程中接受贿赂或者获取不正当利益的；</w:t>
      </w:r>
    </w:p>
    <w:p w14:paraId="7805F56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（7）在评审现场发表倾向性意见的；</w:t>
      </w:r>
    </w:p>
    <w:p w14:paraId="387537A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（8）泄露评审情况以及评审过程中获悉的国家秘密、商业秘密的；</w:t>
      </w:r>
    </w:p>
    <w:p w14:paraId="09817C0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（9）未按规定将政府采购合同进行公示的；</w:t>
      </w:r>
    </w:p>
    <w:p w14:paraId="418C773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（10）法律法规规定的其他违法违规行为。</w:t>
      </w:r>
    </w:p>
    <w:p w14:paraId="46EA226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45.评标委员会及其成员违法违规行为：</w:t>
      </w:r>
    </w:p>
    <w:p w14:paraId="5C5E33E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（1）收受采购人、采购代理机构、投标人、其他利害关系人的财物或者其他不正当利益的；</w:t>
      </w:r>
    </w:p>
    <w:p w14:paraId="594CB3E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（2）泄露评审情况以及评审过程中获悉的国家秘密、商业秘密的；</w:t>
      </w:r>
    </w:p>
    <w:p w14:paraId="2312D4D1">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（3）明知与投标人有利害关系而不依法回避的；</w:t>
      </w:r>
    </w:p>
    <w:p w14:paraId="2FC4575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（4）在评审过程中擅离职守，影响评审程序正常进行的；</w:t>
      </w:r>
    </w:p>
    <w:p w14:paraId="33FFDBB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（5）在评审过程中有明显不合理或者不正当倾向的；</w:t>
      </w:r>
    </w:p>
    <w:p w14:paraId="5379D77C">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（6）未按招标文件规定的程序进行评审、评定的；</w:t>
      </w:r>
    </w:p>
    <w:p w14:paraId="5ADC924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（7）将未实质性响应招标文件要求的投标人的投标文件按实质性响应处理的；</w:t>
      </w:r>
    </w:p>
    <w:p w14:paraId="3E9FA7D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（8）对需要通过投标人澄清或者说明后可能成为实质性响应的投标文件，直接判定为未实质性响应，导致投标人失去投标机会的；</w:t>
      </w:r>
    </w:p>
    <w:p w14:paraId="768412B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（9）在评审现场发表倾向性意见或者征询采购人意见的；</w:t>
      </w:r>
    </w:p>
    <w:p w14:paraId="047DC39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（10）记录、复制或者带走任何评审资料的；</w:t>
      </w:r>
    </w:p>
    <w:p w14:paraId="1CB5790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（11）法律法规规定的其他违法违规行为。</w:t>
      </w:r>
    </w:p>
    <w:p w14:paraId="5FADDC2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46.采购代理机构违法违规行为</w:t>
      </w:r>
    </w:p>
    <w:p w14:paraId="1C9B714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（1）未按照规定在指定媒体发布政府采购信息的；</w:t>
      </w:r>
    </w:p>
    <w:p w14:paraId="385E6CA6">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（2）未按规定组成评标委员会的；</w:t>
      </w:r>
    </w:p>
    <w:p w14:paraId="774D224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（3）泄露评审情况以及评审过程中获悉的国家秘密、商业秘密的；</w:t>
      </w:r>
    </w:p>
    <w:p w14:paraId="4A5AECA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（4）收受采购人、投标人、其他利害关系人的财物或者其他不正当利益的；</w:t>
      </w:r>
    </w:p>
    <w:p w14:paraId="09D88BA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（5）在评审过程发表倾向性言论的；</w:t>
      </w:r>
    </w:p>
    <w:p w14:paraId="7C730ED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（6）采购代理机构及其分支机构在所代理的项目中参与采购活动的或为拟参加所代理的项目的投标人提供咨询的；</w:t>
      </w:r>
    </w:p>
    <w:p w14:paraId="5F35B66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（7）未按规定对评审活动进行全程录音录像的；</w:t>
      </w:r>
    </w:p>
    <w:p w14:paraId="6ADCBCA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（8）擅自终止采购活动的；</w:t>
      </w:r>
    </w:p>
    <w:p w14:paraId="2D2E87B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（9）未按照规定对投标文件进行解密和组织评审的；</w:t>
      </w:r>
    </w:p>
    <w:p w14:paraId="1DEEDC2D">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（10）超规定收取采购代理服务费的；</w:t>
      </w:r>
    </w:p>
    <w:p w14:paraId="057A4AE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（11）未按照规定退还投标保证金的；</w:t>
      </w:r>
    </w:p>
    <w:p w14:paraId="72008604">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（12）违反规定进行重新评审或者重新组建评标委员会进行评审的；</w:t>
      </w:r>
    </w:p>
    <w:p w14:paraId="4F068AB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（13）开标前泄露已获取招标文件的潜在投标人的名称、数量或者其他可能影响公平竞争的有关采购活动情况的；</w:t>
      </w:r>
    </w:p>
    <w:p w14:paraId="44C773E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（14）未妥善保存采购文件的；</w:t>
      </w:r>
    </w:p>
    <w:p w14:paraId="17CFDB6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（15）法律法规规定的其他违法违规行为。</w:t>
      </w:r>
    </w:p>
    <w:p w14:paraId="5430B996">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auto"/>
        <w:outlineLvl w:val="1"/>
        <w:rPr>
          <w:rFonts w:ascii="宋体" w:hAnsi="宋体" w:cs="宋体"/>
          <w:b/>
          <w:kern w:val="0"/>
          <w:sz w:val="24"/>
          <w:highlight w:val="none"/>
        </w:rPr>
      </w:pPr>
      <w:bookmarkStart w:id="39" w:name="_Toc29284"/>
      <w:bookmarkStart w:id="40" w:name="_Toc180347463"/>
      <w:r>
        <w:rPr>
          <w:rFonts w:hint="eastAsia" w:ascii="宋体" w:hAnsi="宋体" w:cs="宋体"/>
          <w:b/>
          <w:kern w:val="0"/>
          <w:sz w:val="24"/>
          <w:highlight w:val="none"/>
        </w:rPr>
        <w:t>十二、政府采购政策性要求</w:t>
      </w:r>
      <w:bookmarkEnd w:id="39"/>
      <w:bookmarkEnd w:id="40"/>
    </w:p>
    <w:p w14:paraId="4A3A66F2">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47.进口货物及政策要求</w:t>
      </w:r>
    </w:p>
    <w:p w14:paraId="5B15D91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kern w:val="0"/>
          <w:sz w:val="24"/>
          <w:highlight w:val="none"/>
        </w:rPr>
        <w:t>本招标文件中的采购标的，</w:t>
      </w:r>
      <w:r>
        <w:rPr>
          <w:rFonts w:hint="eastAsia" w:ascii="宋体" w:hAnsi="宋体" w:cs="宋体"/>
          <w:sz w:val="24"/>
          <w:highlight w:val="none"/>
        </w:rPr>
        <w:t>未特别注明“</w:t>
      </w:r>
      <w:r>
        <w:rPr>
          <w:rFonts w:hint="eastAsia" w:ascii="宋体" w:hAnsi="宋体" w:cs="宋体"/>
          <w:sz w:val="24"/>
          <w:highlight w:val="none"/>
          <w:lang w:eastAsia="zh-CN"/>
        </w:rPr>
        <w:t>进口产品</w:t>
      </w:r>
      <w:r>
        <w:rPr>
          <w:rFonts w:hint="eastAsia" w:ascii="宋体" w:hAnsi="宋体" w:cs="宋体"/>
          <w:sz w:val="24"/>
          <w:highlight w:val="none"/>
        </w:rPr>
        <w:t>”字样的，均必须采购国产产品，即非“通过中国海关报关验放进入中国境内且产自关境外的产品”，采购产品各项技术标准必须符合国家强制性标准。特别注明“</w:t>
      </w:r>
      <w:r>
        <w:rPr>
          <w:rFonts w:hint="eastAsia" w:ascii="宋体" w:hAnsi="宋体" w:cs="宋体"/>
          <w:sz w:val="24"/>
          <w:highlight w:val="none"/>
          <w:lang w:eastAsia="zh-CN"/>
        </w:rPr>
        <w:t>进口产品</w:t>
      </w:r>
      <w:r>
        <w:rPr>
          <w:rFonts w:hint="eastAsia" w:ascii="宋体" w:hAnsi="宋体" w:cs="宋体"/>
          <w:sz w:val="24"/>
          <w:highlight w:val="none"/>
        </w:rPr>
        <w:t>”字样的，优先采购向我国企业转让技术、与我国企业签订消化吸收再创新方案的投标人的进口产品，如果有能够满足采购需求的国产产品参与，应当按照公平竞争的原则进行评审。</w:t>
      </w:r>
    </w:p>
    <w:p w14:paraId="2D641F38">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ascii="宋体" w:hAnsi="宋体" w:cs="宋体"/>
          <w:kern w:val="0"/>
          <w:sz w:val="24"/>
          <w:highlight w:val="none"/>
        </w:rPr>
      </w:pPr>
      <w:r>
        <w:rPr>
          <w:rFonts w:hint="eastAsia" w:ascii="宋体" w:hAnsi="宋体" w:cs="宋体"/>
          <w:kern w:val="0"/>
          <w:sz w:val="24"/>
          <w:highlight w:val="none"/>
        </w:rPr>
        <w:t>48.国家强制产品</w:t>
      </w:r>
    </w:p>
    <w:p w14:paraId="70269F5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w:t>
      </w:r>
      <w:r>
        <w:rPr>
          <w:rFonts w:hint="eastAsia" w:ascii="宋体" w:hAnsi="宋体" w:cs="宋体"/>
          <w:b/>
          <w:sz w:val="24"/>
          <w:highlight w:val="none"/>
        </w:rPr>
        <w:t>强制节能产品明细表</w:t>
      </w:r>
      <w:r>
        <w:rPr>
          <w:rFonts w:hint="eastAsia" w:ascii="宋体" w:hAnsi="宋体" w:cs="宋体"/>
          <w:kern w:val="0"/>
          <w:sz w:val="24"/>
          <w:highlight w:val="none"/>
        </w:rPr>
        <w:t>》。</w:t>
      </w:r>
    </w:p>
    <w:p w14:paraId="7110E273">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kern w:val="0"/>
          <w:sz w:val="24"/>
          <w:highlight w:val="none"/>
        </w:rPr>
        <w:t>49.</w:t>
      </w:r>
      <w:r>
        <w:rPr>
          <w:rFonts w:hint="eastAsia" w:ascii="宋体" w:hAnsi="宋体" w:cs="宋体"/>
          <w:sz w:val="24"/>
          <w:highlight w:val="none"/>
        </w:rPr>
        <w:t>投报环境标志产品政府采购品目清单中的产品，需提供所投产品获得国家确定的认证机构出具的、处于有效期之内的环境标志产品认证证书和《</w:t>
      </w:r>
      <w:r>
        <w:rPr>
          <w:rFonts w:hint="eastAsia" w:ascii="宋体" w:hAnsi="宋体" w:cs="宋体"/>
          <w:b/>
          <w:sz w:val="24"/>
          <w:highlight w:val="none"/>
        </w:rPr>
        <w:t>环境标志产品明细表</w:t>
      </w:r>
      <w:r>
        <w:rPr>
          <w:rFonts w:hint="eastAsia" w:ascii="宋体" w:hAnsi="宋体" w:cs="宋体"/>
          <w:sz w:val="24"/>
          <w:highlight w:val="none"/>
        </w:rPr>
        <w:t>》。</w:t>
      </w:r>
    </w:p>
    <w:p w14:paraId="545C0C2E">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sz w:val="24"/>
          <w:highlight w:val="none"/>
        </w:rPr>
        <w:t>50.采购货物中如含有计算机，必须预装正版操作系统软件产品；项目中所采购的其它软件必须为正版软件。须提供《正版软件承诺》。</w:t>
      </w:r>
    </w:p>
    <w:p w14:paraId="7929695C">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51.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021F7C4F">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52.中小微企业参加本项目：</w:t>
      </w:r>
    </w:p>
    <w:p w14:paraId="36B3974A">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47D689D8">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53．残疾人福利单位参加本项目：</w:t>
      </w:r>
    </w:p>
    <w:p w14:paraId="1F551A3E">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依据《三部门联合发布关于促进残疾人就业政府采购政策的通知》（财库[2017]141号）第三条规定，需提供《残疾人福利性单位声明函》。</w:t>
      </w:r>
    </w:p>
    <w:p w14:paraId="09CD062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54．监狱企业参加本项目：</w:t>
      </w:r>
    </w:p>
    <w:p w14:paraId="37F45CD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依据《财政部司法部关于政府采购支持监狱企业发展有关问题的通知》(财库〔2014〕68号)规定，需提供《监狱企业承诺函》和由省级以上监狱管理局、戒毒管理局（含新疆生产建设兵团）出具的属于监狱企业的证明文件。</w:t>
      </w:r>
    </w:p>
    <w:p w14:paraId="4F1431F3">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55.联合体参加本项目：</w:t>
      </w:r>
    </w:p>
    <w:p w14:paraId="487DC04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如本项目为接受大中型企业与小微企业组成联合体或者允许大中型企业向一家或者多家小微企业分包的采购项目，需提供《联合体投标协议书》。</w:t>
      </w:r>
    </w:p>
    <w:p w14:paraId="2B9CE3EA">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56.创新产品参加的项目</w:t>
      </w:r>
    </w:p>
    <w:p w14:paraId="3B4E085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投报根据《政府采购支持创新产品和服务实施细则》（晋财购【2019】19号）的产品，需在投标文件中提供《山西省创新产品和服务推荐清单》产品截图，并填写《创新产品或创新服务明细表》。</w:t>
      </w:r>
    </w:p>
    <w:p w14:paraId="3C3955D7">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57.商品包装和快递包装</w:t>
      </w:r>
    </w:p>
    <w:p w14:paraId="612132C7">
      <w:pPr>
        <w:keepNext w:val="0"/>
        <w:keepLines w:val="0"/>
        <w:pageBreakBefore w:val="0"/>
        <w:widowControl w:val="0"/>
        <w:kinsoku/>
        <w:overflowPunct/>
        <w:bidi w:val="0"/>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z w:val="24"/>
          <w:highlight w:val="none"/>
        </w:rPr>
        <w:t>如所供货物均需按《商品包装政府采购需求标准（试行）》、《快递包装政府采购需求标准（试行）》（财办库〔2020〕123号）包装标准与保护措施进行包装，须出具《商品包装和快递包装承诺》。</w:t>
      </w:r>
    </w:p>
    <w:p w14:paraId="5C5B43AA">
      <w:pPr>
        <w:keepNext w:val="0"/>
        <w:keepLines w:val="0"/>
        <w:pageBreakBefore w:val="0"/>
        <w:widowControl w:val="0"/>
        <w:kinsoku/>
        <w:overflowPunct/>
        <w:bidi w:val="0"/>
        <w:ind w:firstLine="643"/>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br w:type="page"/>
      </w:r>
    </w:p>
    <w:p w14:paraId="3249C1B8">
      <w:pPr>
        <w:keepNext w:val="0"/>
        <w:keepLines w:val="0"/>
        <w:pageBreakBefore w:val="0"/>
        <w:widowControl w:val="0"/>
        <w:tabs>
          <w:tab w:val="left" w:pos="2070"/>
          <w:tab w:val="center" w:pos="4365"/>
        </w:tabs>
        <w:kinsoku/>
        <w:overflowPunct/>
        <w:bidi w:val="0"/>
        <w:adjustRightInd w:val="0"/>
        <w:snapToGrid w:val="0"/>
        <w:spacing w:line="360" w:lineRule="auto"/>
        <w:ind w:firstLine="643"/>
        <w:jc w:val="center"/>
        <w:outlineLvl w:val="0"/>
        <w:rPr>
          <w:rFonts w:ascii="Times New Roman" w:hAnsi="Times New Roman"/>
          <w:b/>
          <w:color w:val="000000" w:themeColor="text1"/>
          <w:kern w:val="0"/>
          <w:sz w:val="32"/>
          <w:szCs w:val="32"/>
          <w:highlight w:val="none"/>
          <w14:textFill>
            <w14:solidFill>
              <w14:schemeClr w14:val="tx1"/>
            </w14:solidFill>
          </w14:textFill>
        </w:rPr>
      </w:pPr>
      <w:bookmarkStart w:id="41" w:name="_Toc180347464"/>
      <w:r>
        <w:rPr>
          <w:rFonts w:ascii="Times New Roman" w:hAnsi="Times New Roman"/>
          <w:b/>
          <w:color w:val="000000" w:themeColor="text1"/>
          <w:kern w:val="0"/>
          <w:sz w:val="32"/>
          <w:szCs w:val="32"/>
          <w:highlight w:val="none"/>
          <w14:textFill>
            <w14:solidFill>
              <w14:schemeClr w14:val="tx1"/>
            </w14:solidFill>
          </w14:textFill>
        </w:rPr>
        <w:t xml:space="preserve">第四部分   </w:t>
      </w:r>
      <w:r>
        <w:rPr>
          <w:rFonts w:hint="eastAsia" w:ascii="Times New Roman" w:hAnsi="Times New Roman"/>
          <w:b/>
          <w:color w:val="000000" w:themeColor="text1"/>
          <w:kern w:val="0"/>
          <w:sz w:val="32"/>
          <w:szCs w:val="32"/>
          <w:highlight w:val="none"/>
          <w14:textFill>
            <w14:solidFill>
              <w14:schemeClr w14:val="tx1"/>
            </w14:solidFill>
          </w14:textFill>
        </w:rPr>
        <w:t>评审方法和评审标准</w:t>
      </w:r>
      <w:bookmarkEnd w:id="41"/>
    </w:p>
    <w:p w14:paraId="037CB5F0">
      <w:pPr>
        <w:keepNext w:val="0"/>
        <w:keepLines w:val="0"/>
        <w:pageBreakBefore w:val="0"/>
        <w:widowControl w:val="0"/>
        <w:kinsoku/>
        <w:overflowPunct/>
        <w:topLinePunct/>
        <w:bidi w:val="0"/>
        <w:adjustRightInd w:val="0"/>
        <w:snapToGrid w:val="0"/>
        <w:spacing w:line="360" w:lineRule="auto"/>
        <w:ind w:firstLine="482"/>
        <w:jc w:val="left"/>
        <w:outlineLvl w:val="1"/>
        <w:rPr>
          <w:rFonts w:ascii="宋体" w:hAnsi="宋体" w:cs="宋体"/>
          <w:b/>
          <w:bCs/>
          <w:snapToGrid w:val="0"/>
          <w:kern w:val="0"/>
          <w:sz w:val="24"/>
          <w:highlight w:val="none"/>
        </w:rPr>
      </w:pPr>
      <w:bookmarkStart w:id="42" w:name="_Toc180347465"/>
      <w:r>
        <w:rPr>
          <w:rFonts w:hint="eastAsia" w:ascii="宋体" w:hAnsi="宋体" w:cs="宋体"/>
          <w:b/>
          <w:bCs/>
          <w:snapToGrid w:val="0"/>
          <w:kern w:val="0"/>
          <w:sz w:val="24"/>
          <w:highlight w:val="none"/>
        </w:rPr>
        <w:t>一、</w:t>
      </w:r>
      <w:r>
        <w:rPr>
          <w:rFonts w:hint="eastAsia" w:ascii="宋体" w:hAnsi="宋体" w:cs="宋体"/>
          <w:b/>
          <w:bCs/>
          <w:snapToGrid w:val="0"/>
          <w:kern w:val="0"/>
          <w:sz w:val="24"/>
          <w:highlight w:val="none"/>
          <w:lang w:eastAsia="en-US"/>
        </w:rPr>
        <w:t>资格审查</w:t>
      </w:r>
      <w:bookmarkEnd w:id="42"/>
    </w:p>
    <w:tbl>
      <w:tblPr>
        <w:tblStyle w:val="23"/>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192"/>
        <w:gridCol w:w="2587"/>
        <w:gridCol w:w="4632"/>
      </w:tblGrid>
      <w:tr w14:paraId="2552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blHeader/>
          <w:jc w:val="center"/>
        </w:trPr>
        <w:tc>
          <w:tcPr>
            <w:tcW w:w="587" w:type="dxa"/>
            <w:vAlign w:val="center"/>
          </w:tcPr>
          <w:p w14:paraId="001B5FE5">
            <w:pPr>
              <w:keepNext w:val="0"/>
              <w:keepLines w:val="0"/>
              <w:pageBreakBefore w:val="0"/>
              <w:widowControl w:val="0"/>
              <w:kinsoku/>
              <w:overflowPunct/>
              <w:topLinePunct/>
              <w:bidi w:val="0"/>
              <w:adjustRightInd w:val="0"/>
              <w:snapToGrid w:val="0"/>
              <w:jc w:val="center"/>
              <w:rPr>
                <w:rFonts w:ascii="宋体" w:hAnsi="宋体" w:cs="宋体"/>
                <w:b/>
                <w:sz w:val="24"/>
                <w:highlight w:val="none"/>
              </w:rPr>
            </w:pPr>
            <w:r>
              <w:rPr>
                <w:rFonts w:hint="eastAsia" w:ascii="宋体" w:hAnsi="宋体" w:cs="宋体"/>
                <w:b/>
                <w:sz w:val="24"/>
                <w:highlight w:val="none"/>
              </w:rPr>
              <w:t>序号</w:t>
            </w:r>
          </w:p>
        </w:tc>
        <w:tc>
          <w:tcPr>
            <w:tcW w:w="1192" w:type="dxa"/>
            <w:vAlign w:val="center"/>
          </w:tcPr>
          <w:p w14:paraId="0118FB78">
            <w:pPr>
              <w:keepNext w:val="0"/>
              <w:keepLines w:val="0"/>
              <w:pageBreakBefore w:val="0"/>
              <w:widowControl w:val="0"/>
              <w:kinsoku/>
              <w:overflowPunct/>
              <w:topLinePunct/>
              <w:bidi w:val="0"/>
              <w:adjustRightInd w:val="0"/>
              <w:snapToGrid w:val="0"/>
              <w:jc w:val="center"/>
              <w:rPr>
                <w:rFonts w:ascii="宋体" w:hAnsi="宋体" w:cs="宋体"/>
                <w:b/>
                <w:sz w:val="24"/>
                <w:highlight w:val="none"/>
                <w:lang w:eastAsia="en-US"/>
              </w:rPr>
            </w:pPr>
            <w:r>
              <w:rPr>
                <w:rFonts w:hint="eastAsia" w:ascii="宋体" w:hAnsi="宋体" w:cs="宋体"/>
                <w:b/>
                <w:sz w:val="24"/>
                <w:highlight w:val="none"/>
                <w:lang w:eastAsia="en-US"/>
              </w:rPr>
              <w:t>类型</w:t>
            </w:r>
          </w:p>
        </w:tc>
        <w:tc>
          <w:tcPr>
            <w:tcW w:w="2587" w:type="dxa"/>
            <w:vAlign w:val="center"/>
          </w:tcPr>
          <w:p w14:paraId="70005592">
            <w:pPr>
              <w:keepNext w:val="0"/>
              <w:keepLines w:val="0"/>
              <w:pageBreakBefore w:val="0"/>
              <w:widowControl w:val="0"/>
              <w:kinsoku/>
              <w:overflowPunct/>
              <w:topLinePunct/>
              <w:bidi w:val="0"/>
              <w:adjustRightInd w:val="0"/>
              <w:snapToGrid w:val="0"/>
              <w:jc w:val="center"/>
              <w:rPr>
                <w:rFonts w:ascii="宋体" w:hAnsi="宋体" w:cs="宋体"/>
                <w:b/>
                <w:sz w:val="24"/>
                <w:highlight w:val="none"/>
                <w:lang w:eastAsia="en-US"/>
              </w:rPr>
            </w:pPr>
            <w:r>
              <w:rPr>
                <w:rFonts w:hint="eastAsia" w:ascii="宋体" w:hAnsi="宋体" w:cs="宋体"/>
                <w:b/>
                <w:sz w:val="24"/>
                <w:highlight w:val="none"/>
                <w:lang w:eastAsia="en-US"/>
              </w:rPr>
              <w:t>审查要求</w:t>
            </w:r>
          </w:p>
        </w:tc>
        <w:tc>
          <w:tcPr>
            <w:tcW w:w="4632" w:type="dxa"/>
            <w:vAlign w:val="center"/>
          </w:tcPr>
          <w:p w14:paraId="64CF6EFD">
            <w:pPr>
              <w:keepNext w:val="0"/>
              <w:keepLines w:val="0"/>
              <w:pageBreakBefore w:val="0"/>
              <w:widowControl w:val="0"/>
              <w:kinsoku/>
              <w:overflowPunct/>
              <w:topLinePunct/>
              <w:bidi w:val="0"/>
              <w:adjustRightInd w:val="0"/>
              <w:snapToGrid w:val="0"/>
              <w:jc w:val="center"/>
              <w:rPr>
                <w:rFonts w:ascii="宋体" w:hAnsi="宋体" w:cs="宋体"/>
                <w:b/>
                <w:sz w:val="24"/>
                <w:highlight w:val="none"/>
                <w:lang w:eastAsia="en-US"/>
              </w:rPr>
            </w:pPr>
            <w:r>
              <w:rPr>
                <w:rFonts w:hint="eastAsia" w:ascii="宋体" w:hAnsi="宋体" w:cs="宋体"/>
                <w:b/>
                <w:sz w:val="24"/>
                <w:highlight w:val="none"/>
                <w:lang w:eastAsia="en-US"/>
              </w:rPr>
              <w:t>要求说明</w:t>
            </w:r>
          </w:p>
        </w:tc>
      </w:tr>
      <w:tr w14:paraId="71B5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87" w:type="dxa"/>
            <w:vAlign w:val="center"/>
          </w:tcPr>
          <w:p w14:paraId="01B30F43">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rPr>
            </w:pPr>
            <w:r>
              <w:rPr>
                <w:rFonts w:hint="eastAsia" w:ascii="宋体" w:hAnsi="宋体" w:cs="宋体"/>
                <w:snapToGrid w:val="0"/>
                <w:kern w:val="0"/>
                <w:sz w:val="24"/>
                <w:highlight w:val="none"/>
              </w:rPr>
              <w:t>1</w:t>
            </w:r>
          </w:p>
        </w:tc>
        <w:tc>
          <w:tcPr>
            <w:tcW w:w="1192" w:type="dxa"/>
            <w:vAlign w:val="center"/>
          </w:tcPr>
          <w:p w14:paraId="0B7F5EA3">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lang w:eastAsia="en-US"/>
              </w:rPr>
            </w:pPr>
            <w:r>
              <w:rPr>
                <w:rFonts w:hint="eastAsia" w:ascii="宋体" w:hAnsi="宋体" w:cs="宋体"/>
                <w:snapToGrid w:val="0"/>
                <w:kern w:val="0"/>
                <w:sz w:val="24"/>
                <w:highlight w:val="none"/>
                <w:lang w:eastAsia="en-US"/>
              </w:rPr>
              <w:t>营业执照</w:t>
            </w:r>
          </w:p>
        </w:tc>
        <w:tc>
          <w:tcPr>
            <w:tcW w:w="2587" w:type="dxa"/>
            <w:vAlign w:val="center"/>
          </w:tcPr>
          <w:p w14:paraId="671542B1">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kern w:val="0"/>
                <w:sz w:val="24"/>
                <w:highlight w:val="none"/>
              </w:rPr>
            </w:pPr>
            <w:r>
              <w:rPr>
                <w:rFonts w:hint="eastAsia" w:ascii="宋体" w:hAnsi="宋体" w:cs="宋体"/>
                <w:snapToGrid w:val="0"/>
                <w:kern w:val="0"/>
                <w:sz w:val="24"/>
                <w:highlight w:val="none"/>
              </w:rPr>
              <w:t>具有独立承担民事责任的能力</w:t>
            </w:r>
          </w:p>
        </w:tc>
        <w:tc>
          <w:tcPr>
            <w:tcW w:w="4632" w:type="dxa"/>
            <w:vAlign w:val="center"/>
          </w:tcPr>
          <w:p w14:paraId="0207BDE7">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rPr>
            </w:pPr>
            <w:r>
              <w:rPr>
                <w:rFonts w:hint="eastAsia" w:ascii="宋体" w:hAnsi="宋体" w:cs="宋体"/>
                <w:snapToGrid w:val="0"/>
                <w:kern w:val="0"/>
                <w:sz w:val="24"/>
                <w:highlight w:val="none"/>
              </w:rPr>
              <w:t>提供</w:t>
            </w:r>
            <w:r>
              <w:rPr>
                <w:rFonts w:hint="eastAsia" w:ascii="宋体" w:hAnsi="宋体" w:cs="宋体"/>
                <w:snapToGrid w:val="0"/>
                <w:kern w:val="0"/>
                <w:sz w:val="24"/>
                <w:highlight w:val="none"/>
                <w:lang w:eastAsia="zh-CN"/>
              </w:rPr>
              <w:t>供应商</w:t>
            </w:r>
            <w:r>
              <w:rPr>
                <w:rFonts w:hint="eastAsia" w:ascii="宋体" w:hAnsi="宋体" w:cs="宋体"/>
                <w:snapToGrid w:val="0"/>
                <w:kern w:val="0"/>
                <w:sz w:val="24"/>
                <w:highlight w:val="none"/>
              </w:rPr>
              <w:t>信用承诺书。</w:t>
            </w:r>
          </w:p>
          <w:p w14:paraId="690D8188">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lang w:eastAsia="en-US"/>
              </w:rPr>
            </w:pPr>
            <w:r>
              <w:rPr>
                <w:rFonts w:hint="eastAsia" w:ascii="宋体" w:hAnsi="宋体" w:cs="宋体"/>
                <w:snapToGrid w:val="0"/>
                <w:kern w:val="0"/>
                <w:sz w:val="24"/>
                <w:highlight w:val="none"/>
              </w:rPr>
              <w:t>以上证明材料须符合要求、有效、完整。</w:t>
            </w:r>
            <w:r>
              <w:rPr>
                <w:rFonts w:hint="eastAsia" w:ascii="宋体" w:hAnsi="宋体" w:cs="宋体"/>
                <w:snapToGrid w:val="0"/>
                <w:kern w:val="0"/>
                <w:sz w:val="24"/>
                <w:highlight w:val="none"/>
                <w:lang w:eastAsia="en-US"/>
              </w:rPr>
              <w:t>否则，</w:t>
            </w:r>
            <w:r>
              <w:rPr>
                <w:rFonts w:hint="eastAsia" w:ascii="宋体" w:hAnsi="宋体" w:cs="宋体"/>
                <w:snapToGrid w:val="0"/>
                <w:kern w:val="0"/>
                <w:sz w:val="24"/>
                <w:highlight w:val="none"/>
              </w:rPr>
              <w:t>投标无效</w:t>
            </w:r>
            <w:r>
              <w:rPr>
                <w:rFonts w:hint="eastAsia" w:ascii="宋体" w:hAnsi="宋体" w:cs="宋体"/>
                <w:snapToGrid w:val="0"/>
                <w:kern w:val="0"/>
                <w:sz w:val="24"/>
                <w:highlight w:val="none"/>
                <w:lang w:eastAsia="en-US"/>
              </w:rPr>
              <w:t>。</w:t>
            </w:r>
          </w:p>
        </w:tc>
      </w:tr>
      <w:tr w14:paraId="12BD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87" w:type="dxa"/>
            <w:vAlign w:val="center"/>
          </w:tcPr>
          <w:p w14:paraId="3498E047">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rPr>
            </w:pPr>
            <w:r>
              <w:rPr>
                <w:rFonts w:hint="eastAsia" w:ascii="宋体" w:hAnsi="宋体" w:cs="宋体"/>
                <w:snapToGrid w:val="0"/>
                <w:kern w:val="0"/>
                <w:sz w:val="24"/>
                <w:highlight w:val="none"/>
              </w:rPr>
              <w:t>2</w:t>
            </w:r>
          </w:p>
        </w:tc>
        <w:tc>
          <w:tcPr>
            <w:tcW w:w="1192" w:type="dxa"/>
            <w:vAlign w:val="center"/>
          </w:tcPr>
          <w:p w14:paraId="7F5F95C8">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lang w:eastAsia="en-US"/>
              </w:rPr>
            </w:pPr>
            <w:r>
              <w:rPr>
                <w:rFonts w:hint="eastAsia" w:ascii="宋体" w:hAnsi="宋体" w:cs="宋体"/>
                <w:snapToGrid w:val="0"/>
                <w:kern w:val="0"/>
                <w:sz w:val="24"/>
                <w:highlight w:val="none"/>
                <w:lang w:eastAsia="en-US"/>
              </w:rPr>
              <w:t>财务报告</w:t>
            </w:r>
          </w:p>
        </w:tc>
        <w:tc>
          <w:tcPr>
            <w:tcW w:w="2587" w:type="dxa"/>
            <w:vAlign w:val="center"/>
          </w:tcPr>
          <w:p w14:paraId="5355777A">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kern w:val="0"/>
                <w:sz w:val="24"/>
                <w:highlight w:val="none"/>
              </w:rPr>
            </w:pPr>
            <w:r>
              <w:rPr>
                <w:rFonts w:hint="eastAsia" w:ascii="宋体" w:hAnsi="宋体" w:cs="宋体"/>
                <w:snapToGrid w:val="0"/>
                <w:kern w:val="0"/>
                <w:sz w:val="24"/>
                <w:highlight w:val="none"/>
              </w:rPr>
              <w:t>具有良好的商业信誉和健全的财务会计制度</w:t>
            </w:r>
          </w:p>
        </w:tc>
        <w:tc>
          <w:tcPr>
            <w:tcW w:w="4632" w:type="dxa"/>
            <w:vAlign w:val="center"/>
          </w:tcPr>
          <w:p w14:paraId="6E679257">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rPr>
            </w:pPr>
            <w:r>
              <w:rPr>
                <w:rFonts w:hint="eastAsia" w:ascii="宋体" w:hAnsi="宋体" w:cs="宋体"/>
                <w:snapToGrid w:val="0"/>
                <w:kern w:val="0"/>
                <w:sz w:val="24"/>
                <w:highlight w:val="none"/>
              </w:rPr>
              <w:t>提供</w:t>
            </w:r>
            <w:r>
              <w:rPr>
                <w:rFonts w:hint="eastAsia" w:ascii="宋体" w:hAnsi="宋体" w:cs="宋体"/>
                <w:snapToGrid w:val="0"/>
                <w:kern w:val="0"/>
                <w:sz w:val="24"/>
                <w:highlight w:val="none"/>
                <w:lang w:eastAsia="zh-CN"/>
              </w:rPr>
              <w:t>供应商</w:t>
            </w:r>
            <w:r>
              <w:rPr>
                <w:rFonts w:hint="eastAsia" w:ascii="宋体" w:hAnsi="宋体" w:cs="宋体"/>
                <w:snapToGrid w:val="0"/>
                <w:kern w:val="0"/>
                <w:sz w:val="24"/>
                <w:highlight w:val="none"/>
              </w:rPr>
              <w:t>信用承诺书。</w:t>
            </w:r>
          </w:p>
          <w:p w14:paraId="0F929B8D">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lang w:eastAsia="en-US"/>
              </w:rPr>
            </w:pPr>
            <w:r>
              <w:rPr>
                <w:rFonts w:hint="eastAsia" w:ascii="宋体" w:hAnsi="宋体" w:cs="宋体"/>
                <w:snapToGrid w:val="0"/>
                <w:kern w:val="0"/>
                <w:sz w:val="24"/>
                <w:highlight w:val="none"/>
              </w:rPr>
              <w:t>以上证明材料须符合要求、有效、完整。</w:t>
            </w:r>
            <w:r>
              <w:rPr>
                <w:rFonts w:hint="eastAsia" w:ascii="宋体" w:hAnsi="宋体" w:cs="宋体"/>
                <w:snapToGrid w:val="0"/>
                <w:kern w:val="0"/>
                <w:sz w:val="24"/>
                <w:highlight w:val="none"/>
                <w:lang w:eastAsia="en-US"/>
              </w:rPr>
              <w:t>否则，</w:t>
            </w:r>
            <w:r>
              <w:rPr>
                <w:rFonts w:hint="eastAsia" w:ascii="宋体" w:hAnsi="宋体" w:cs="宋体"/>
                <w:snapToGrid w:val="0"/>
                <w:kern w:val="0"/>
                <w:sz w:val="24"/>
                <w:highlight w:val="none"/>
              </w:rPr>
              <w:t>投标无效</w:t>
            </w:r>
            <w:r>
              <w:rPr>
                <w:rFonts w:hint="eastAsia" w:ascii="宋体" w:hAnsi="宋体" w:cs="宋体"/>
                <w:snapToGrid w:val="0"/>
                <w:kern w:val="0"/>
                <w:sz w:val="24"/>
                <w:highlight w:val="none"/>
                <w:lang w:eastAsia="en-US"/>
              </w:rPr>
              <w:t>。</w:t>
            </w:r>
          </w:p>
        </w:tc>
      </w:tr>
      <w:tr w14:paraId="5CB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87" w:type="dxa"/>
            <w:vAlign w:val="center"/>
          </w:tcPr>
          <w:p w14:paraId="0DBFFF9B">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rPr>
            </w:pPr>
            <w:r>
              <w:rPr>
                <w:rFonts w:hint="eastAsia" w:ascii="宋体" w:hAnsi="宋体" w:cs="宋体"/>
                <w:snapToGrid w:val="0"/>
                <w:kern w:val="0"/>
                <w:sz w:val="24"/>
                <w:highlight w:val="none"/>
              </w:rPr>
              <w:t>3</w:t>
            </w:r>
          </w:p>
        </w:tc>
        <w:tc>
          <w:tcPr>
            <w:tcW w:w="1192" w:type="dxa"/>
            <w:vAlign w:val="center"/>
          </w:tcPr>
          <w:p w14:paraId="616E03D6">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lang w:eastAsia="en-US"/>
              </w:rPr>
            </w:pPr>
            <w:r>
              <w:rPr>
                <w:rFonts w:hint="eastAsia" w:ascii="宋体" w:hAnsi="宋体" w:cs="宋体"/>
                <w:snapToGrid w:val="0"/>
                <w:kern w:val="0"/>
                <w:sz w:val="24"/>
                <w:highlight w:val="none"/>
                <w:lang w:eastAsia="en-US"/>
              </w:rPr>
              <w:t>基本资质</w:t>
            </w:r>
          </w:p>
        </w:tc>
        <w:tc>
          <w:tcPr>
            <w:tcW w:w="2587" w:type="dxa"/>
            <w:vAlign w:val="center"/>
          </w:tcPr>
          <w:p w14:paraId="5158794F">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kern w:val="0"/>
                <w:sz w:val="24"/>
                <w:highlight w:val="none"/>
              </w:rPr>
            </w:pPr>
            <w:r>
              <w:rPr>
                <w:rFonts w:hint="eastAsia" w:ascii="宋体" w:hAnsi="宋体" w:cs="宋体"/>
                <w:snapToGrid w:val="0"/>
                <w:kern w:val="0"/>
                <w:sz w:val="24"/>
                <w:highlight w:val="none"/>
              </w:rPr>
              <w:t>具有履行合同所必需的设备和专业技术能力</w:t>
            </w:r>
          </w:p>
        </w:tc>
        <w:tc>
          <w:tcPr>
            <w:tcW w:w="4632" w:type="dxa"/>
            <w:vAlign w:val="center"/>
          </w:tcPr>
          <w:p w14:paraId="175DF105">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rPr>
            </w:pPr>
            <w:r>
              <w:rPr>
                <w:rFonts w:hint="eastAsia" w:ascii="宋体" w:hAnsi="宋体" w:cs="宋体"/>
                <w:snapToGrid w:val="0"/>
                <w:kern w:val="0"/>
                <w:sz w:val="24"/>
                <w:highlight w:val="none"/>
              </w:rPr>
              <w:t>提供</w:t>
            </w:r>
            <w:r>
              <w:rPr>
                <w:rFonts w:hint="eastAsia" w:ascii="宋体" w:hAnsi="宋体" w:cs="宋体"/>
                <w:snapToGrid w:val="0"/>
                <w:kern w:val="0"/>
                <w:sz w:val="24"/>
                <w:highlight w:val="none"/>
                <w:lang w:eastAsia="zh-CN"/>
              </w:rPr>
              <w:t>供应商</w:t>
            </w:r>
            <w:r>
              <w:rPr>
                <w:rFonts w:hint="eastAsia" w:ascii="宋体" w:hAnsi="宋体" w:cs="宋体"/>
                <w:snapToGrid w:val="0"/>
                <w:kern w:val="0"/>
                <w:sz w:val="24"/>
                <w:highlight w:val="none"/>
              </w:rPr>
              <w:t>信用承诺书。</w:t>
            </w:r>
          </w:p>
          <w:p w14:paraId="0386B868">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lang w:eastAsia="en-US"/>
              </w:rPr>
            </w:pPr>
            <w:r>
              <w:rPr>
                <w:rFonts w:hint="eastAsia" w:ascii="宋体" w:hAnsi="宋体" w:cs="宋体"/>
                <w:snapToGrid w:val="0"/>
                <w:kern w:val="0"/>
                <w:sz w:val="24"/>
                <w:highlight w:val="none"/>
              </w:rPr>
              <w:t>以上证明材料须符合要求、有效、完整。</w:t>
            </w:r>
            <w:r>
              <w:rPr>
                <w:rFonts w:hint="eastAsia" w:ascii="宋体" w:hAnsi="宋体" w:cs="宋体"/>
                <w:snapToGrid w:val="0"/>
                <w:kern w:val="0"/>
                <w:sz w:val="24"/>
                <w:highlight w:val="none"/>
                <w:lang w:eastAsia="en-US"/>
              </w:rPr>
              <w:t>否则，</w:t>
            </w:r>
            <w:r>
              <w:rPr>
                <w:rFonts w:hint="eastAsia" w:ascii="宋体" w:hAnsi="宋体" w:cs="宋体"/>
                <w:snapToGrid w:val="0"/>
                <w:kern w:val="0"/>
                <w:sz w:val="24"/>
                <w:highlight w:val="none"/>
              </w:rPr>
              <w:t>投标无效</w:t>
            </w:r>
            <w:r>
              <w:rPr>
                <w:rFonts w:hint="eastAsia" w:ascii="宋体" w:hAnsi="宋体" w:cs="宋体"/>
                <w:snapToGrid w:val="0"/>
                <w:kern w:val="0"/>
                <w:sz w:val="24"/>
                <w:highlight w:val="none"/>
                <w:lang w:eastAsia="en-US"/>
              </w:rPr>
              <w:t>。</w:t>
            </w:r>
          </w:p>
        </w:tc>
      </w:tr>
      <w:tr w14:paraId="4A72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87" w:type="dxa"/>
            <w:vAlign w:val="center"/>
          </w:tcPr>
          <w:p w14:paraId="35BA407E">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rPr>
            </w:pPr>
            <w:r>
              <w:rPr>
                <w:rFonts w:hint="eastAsia" w:ascii="宋体" w:hAnsi="宋体" w:cs="宋体"/>
                <w:snapToGrid w:val="0"/>
                <w:kern w:val="0"/>
                <w:sz w:val="24"/>
                <w:highlight w:val="none"/>
              </w:rPr>
              <w:t>4</w:t>
            </w:r>
          </w:p>
        </w:tc>
        <w:tc>
          <w:tcPr>
            <w:tcW w:w="1192" w:type="dxa"/>
            <w:vAlign w:val="center"/>
          </w:tcPr>
          <w:p w14:paraId="1DB654FF">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lang w:eastAsia="en-US"/>
              </w:rPr>
            </w:pPr>
            <w:r>
              <w:rPr>
                <w:rFonts w:hint="eastAsia" w:ascii="宋体" w:hAnsi="宋体" w:cs="宋体"/>
                <w:snapToGrid w:val="0"/>
                <w:kern w:val="0"/>
                <w:sz w:val="24"/>
                <w:highlight w:val="none"/>
                <w:lang w:eastAsia="en-US"/>
              </w:rPr>
              <w:t>基本资质</w:t>
            </w:r>
          </w:p>
        </w:tc>
        <w:tc>
          <w:tcPr>
            <w:tcW w:w="2587" w:type="dxa"/>
            <w:vAlign w:val="center"/>
          </w:tcPr>
          <w:p w14:paraId="21F4FEF1">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kern w:val="0"/>
                <w:sz w:val="24"/>
                <w:highlight w:val="none"/>
              </w:rPr>
            </w:pPr>
            <w:r>
              <w:rPr>
                <w:rFonts w:hint="eastAsia" w:ascii="宋体" w:hAnsi="宋体" w:cs="宋体"/>
                <w:snapToGrid w:val="0"/>
                <w:kern w:val="0"/>
                <w:sz w:val="24"/>
                <w:highlight w:val="none"/>
              </w:rPr>
              <w:t>有依法缴纳税收和社会保障资金的良好记录</w:t>
            </w:r>
          </w:p>
        </w:tc>
        <w:tc>
          <w:tcPr>
            <w:tcW w:w="4632" w:type="dxa"/>
            <w:vAlign w:val="center"/>
          </w:tcPr>
          <w:p w14:paraId="4A867307">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rPr>
            </w:pPr>
            <w:r>
              <w:rPr>
                <w:rFonts w:hint="eastAsia" w:ascii="宋体" w:hAnsi="宋体" w:cs="宋体"/>
                <w:snapToGrid w:val="0"/>
                <w:kern w:val="0"/>
                <w:sz w:val="24"/>
                <w:highlight w:val="none"/>
              </w:rPr>
              <w:t>提供</w:t>
            </w:r>
            <w:r>
              <w:rPr>
                <w:rFonts w:hint="eastAsia" w:ascii="宋体" w:hAnsi="宋体" w:cs="宋体"/>
                <w:snapToGrid w:val="0"/>
                <w:kern w:val="0"/>
                <w:sz w:val="24"/>
                <w:highlight w:val="none"/>
                <w:lang w:eastAsia="zh-CN"/>
              </w:rPr>
              <w:t>供应商</w:t>
            </w:r>
            <w:r>
              <w:rPr>
                <w:rFonts w:hint="eastAsia" w:ascii="宋体" w:hAnsi="宋体" w:cs="宋体"/>
                <w:snapToGrid w:val="0"/>
                <w:kern w:val="0"/>
                <w:sz w:val="24"/>
                <w:highlight w:val="none"/>
              </w:rPr>
              <w:t>信用承诺书。</w:t>
            </w:r>
          </w:p>
          <w:p w14:paraId="34261D21">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lang w:eastAsia="en-US"/>
              </w:rPr>
            </w:pPr>
            <w:r>
              <w:rPr>
                <w:rFonts w:hint="eastAsia" w:ascii="宋体" w:hAnsi="宋体" w:cs="宋体"/>
                <w:snapToGrid w:val="0"/>
                <w:kern w:val="0"/>
                <w:sz w:val="24"/>
                <w:highlight w:val="none"/>
              </w:rPr>
              <w:t>以上证明材料须符合要求、有效、完整。</w:t>
            </w:r>
            <w:r>
              <w:rPr>
                <w:rFonts w:hint="eastAsia" w:ascii="宋体" w:hAnsi="宋体" w:cs="宋体"/>
                <w:snapToGrid w:val="0"/>
                <w:kern w:val="0"/>
                <w:sz w:val="24"/>
                <w:highlight w:val="none"/>
                <w:lang w:eastAsia="en-US"/>
              </w:rPr>
              <w:t>否则，</w:t>
            </w:r>
            <w:r>
              <w:rPr>
                <w:rFonts w:hint="eastAsia" w:ascii="宋体" w:hAnsi="宋体" w:cs="宋体"/>
                <w:snapToGrid w:val="0"/>
                <w:kern w:val="0"/>
                <w:sz w:val="24"/>
                <w:highlight w:val="none"/>
              </w:rPr>
              <w:t>投标无效</w:t>
            </w:r>
            <w:r>
              <w:rPr>
                <w:rFonts w:hint="eastAsia" w:ascii="宋体" w:hAnsi="宋体" w:cs="宋体"/>
                <w:snapToGrid w:val="0"/>
                <w:kern w:val="0"/>
                <w:sz w:val="24"/>
                <w:highlight w:val="none"/>
                <w:lang w:eastAsia="en-US"/>
              </w:rPr>
              <w:t>。</w:t>
            </w:r>
          </w:p>
        </w:tc>
      </w:tr>
      <w:tr w14:paraId="7FD8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87" w:type="dxa"/>
            <w:vAlign w:val="center"/>
          </w:tcPr>
          <w:p w14:paraId="77C79281">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rPr>
            </w:pPr>
            <w:r>
              <w:rPr>
                <w:rFonts w:hint="eastAsia" w:ascii="宋体" w:hAnsi="宋体" w:cs="宋体"/>
                <w:snapToGrid w:val="0"/>
                <w:kern w:val="0"/>
                <w:sz w:val="24"/>
                <w:highlight w:val="none"/>
              </w:rPr>
              <w:t>5</w:t>
            </w:r>
          </w:p>
        </w:tc>
        <w:tc>
          <w:tcPr>
            <w:tcW w:w="1192" w:type="dxa"/>
            <w:vAlign w:val="center"/>
          </w:tcPr>
          <w:p w14:paraId="2C4FFCEF">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lang w:eastAsia="en-US"/>
              </w:rPr>
            </w:pPr>
            <w:r>
              <w:rPr>
                <w:rFonts w:hint="eastAsia" w:ascii="宋体" w:hAnsi="宋体" w:cs="宋体"/>
                <w:snapToGrid w:val="0"/>
                <w:kern w:val="0"/>
                <w:sz w:val="24"/>
                <w:highlight w:val="none"/>
                <w:lang w:eastAsia="en-US"/>
              </w:rPr>
              <w:t>基本资质</w:t>
            </w:r>
          </w:p>
        </w:tc>
        <w:tc>
          <w:tcPr>
            <w:tcW w:w="2587" w:type="dxa"/>
            <w:vAlign w:val="center"/>
          </w:tcPr>
          <w:p w14:paraId="49556B88">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kern w:val="0"/>
                <w:sz w:val="24"/>
                <w:highlight w:val="none"/>
              </w:rPr>
            </w:pPr>
            <w:r>
              <w:rPr>
                <w:rFonts w:hint="eastAsia" w:ascii="宋体" w:hAnsi="宋体" w:cs="宋体"/>
                <w:snapToGrid w:val="0"/>
                <w:kern w:val="0"/>
                <w:sz w:val="24"/>
                <w:highlight w:val="none"/>
              </w:rPr>
              <w:t>参加政府采购活动前三年内，在经营活动中没有重大违法记录</w:t>
            </w:r>
          </w:p>
        </w:tc>
        <w:tc>
          <w:tcPr>
            <w:tcW w:w="4632" w:type="dxa"/>
            <w:vAlign w:val="center"/>
          </w:tcPr>
          <w:p w14:paraId="6240E4A4">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rPr>
            </w:pPr>
            <w:r>
              <w:rPr>
                <w:rFonts w:hint="eastAsia" w:ascii="宋体" w:hAnsi="宋体" w:cs="宋体"/>
                <w:snapToGrid w:val="0"/>
                <w:kern w:val="0"/>
                <w:sz w:val="24"/>
                <w:highlight w:val="none"/>
              </w:rPr>
              <w:t>提供</w:t>
            </w:r>
            <w:r>
              <w:rPr>
                <w:rFonts w:hint="eastAsia" w:ascii="宋体" w:hAnsi="宋体" w:cs="宋体"/>
                <w:snapToGrid w:val="0"/>
                <w:kern w:val="0"/>
                <w:sz w:val="24"/>
                <w:highlight w:val="none"/>
                <w:lang w:eastAsia="zh-CN"/>
              </w:rPr>
              <w:t>供应商</w:t>
            </w:r>
            <w:r>
              <w:rPr>
                <w:rFonts w:hint="eastAsia" w:ascii="宋体" w:hAnsi="宋体" w:cs="宋体"/>
                <w:snapToGrid w:val="0"/>
                <w:kern w:val="0"/>
                <w:sz w:val="24"/>
                <w:highlight w:val="none"/>
              </w:rPr>
              <w:t>信用承诺书。</w:t>
            </w:r>
          </w:p>
          <w:p w14:paraId="12EF54D4">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lang w:eastAsia="en-US"/>
              </w:rPr>
            </w:pPr>
            <w:r>
              <w:rPr>
                <w:rFonts w:hint="eastAsia" w:ascii="宋体" w:hAnsi="宋体" w:cs="宋体"/>
                <w:snapToGrid w:val="0"/>
                <w:kern w:val="0"/>
                <w:sz w:val="24"/>
                <w:highlight w:val="none"/>
              </w:rPr>
              <w:t>以上证明材料须符合要求、有效、完整。</w:t>
            </w:r>
            <w:r>
              <w:rPr>
                <w:rFonts w:hint="eastAsia" w:ascii="宋体" w:hAnsi="宋体" w:cs="宋体"/>
                <w:snapToGrid w:val="0"/>
                <w:kern w:val="0"/>
                <w:sz w:val="24"/>
                <w:highlight w:val="none"/>
                <w:lang w:eastAsia="en-US"/>
              </w:rPr>
              <w:t>否则，</w:t>
            </w:r>
            <w:r>
              <w:rPr>
                <w:rFonts w:hint="eastAsia" w:ascii="宋体" w:hAnsi="宋体" w:cs="宋体"/>
                <w:snapToGrid w:val="0"/>
                <w:kern w:val="0"/>
                <w:sz w:val="24"/>
                <w:highlight w:val="none"/>
              </w:rPr>
              <w:t>投标无效</w:t>
            </w:r>
            <w:r>
              <w:rPr>
                <w:rFonts w:hint="eastAsia" w:ascii="宋体" w:hAnsi="宋体" w:cs="宋体"/>
                <w:snapToGrid w:val="0"/>
                <w:kern w:val="0"/>
                <w:sz w:val="24"/>
                <w:highlight w:val="none"/>
                <w:lang w:eastAsia="en-US"/>
              </w:rPr>
              <w:t>。</w:t>
            </w:r>
          </w:p>
        </w:tc>
      </w:tr>
      <w:tr w14:paraId="0F08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jc w:val="center"/>
        </w:trPr>
        <w:tc>
          <w:tcPr>
            <w:tcW w:w="587" w:type="dxa"/>
            <w:vAlign w:val="center"/>
          </w:tcPr>
          <w:p w14:paraId="7ADA91EF">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rPr>
            </w:pPr>
            <w:r>
              <w:rPr>
                <w:rFonts w:hint="eastAsia" w:ascii="宋体" w:hAnsi="宋体" w:cs="宋体"/>
                <w:snapToGrid w:val="0"/>
                <w:kern w:val="0"/>
                <w:sz w:val="24"/>
                <w:highlight w:val="none"/>
              </w:rPr>
              <w:t>6</w:t>
            </w:r>
          </w:p>
        </w:tc>
        <w:tc>
          <w:tcPr>
            <w:tcW w:w="1192" w:type="dxa"/>
            <w:vAlign w:val="center"/>
          </w:tcPr>
          <w:p w14:paraId="46386B23">
            <w:pPr>
              <w:keepNext w:val="0"/>
              <w:keepLines w:val="0"/>
              <w:pageBreakBefore w:val="0"/>
              <w:widowControl w:val="0"/>
              <w:kinsoku/>
              <w:overflowPunct/>
              <w:topLinePunct/>
              <w:bidi w:val="0"/>
              <w:adjustRightInd w:val="0"/>
              <w:snapToGrid w:val="0"/>
              <w:jc w:val="center"/>
              <w:rPr>
                <w:rFonts w:ascii="宋体" w:hAnsi="宋体" w:cs="宋体"/>
                <w:snapToGrid w:val="0"/>
                <w:kern w:val="0"/>
                <w:sz w:val="24"/>
                <w:highlight w:val="none"/>
              </w:rPr>
            </w:pPr>
            <w:r>
              <w:rPr>
                <w:rFonts w:hint="eastAsia" w:ascii="宋体" w:hAnsi="宋体" w:cs="宋体"/>
                <w:snapToGrid w:val="0"/>
                <w:kern w:val="0"/>
                <w:sz w:val="24"/>
                <w:highlight w:val="none"/>
              </w:rPr>
              <w:t>基本资质</w:t>
            </w:r>
          </w:p>
        </w:tc>
        <w:tc>
          <w:tcPr>
            <w:tcW w:w="2587" w:type="dxa"/>
            <w:vAlign w:val="center"/>
          </w:tcPr>
          <w:p w14:paraId="0F88EA94">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center"/>
              <w:textAlignment w:val="auto"/>
              <w:rPr>
                <w:rFonts w:ascii="宋体" w:hAnsi="宋体" w:cs="宋体"/>
                <w:snapToGrid w:val="0"/>
                <w:kern w:val="0"/>
                <w:sz w:val="24"/>
                <w:highlight w:val="none"/>
              </w:rPr>
            </w:pPr>
            <w:r>
              <w:rPr>
                <w:rFonts w:hint="eastAsia" w:ascii="宋体" w:hAnsi="宋体" w:cs="宋体"/>
                <w:snapToGrid w:val="0"/>
                <w:kern w:val="0"/>
                <w:sz w:val="24"/>
                <w:highlight w:val="none"/>
              </w:rPr>
              <w:t>单位负责人为同一人或者存在直接控股、管理关系的不同投标人，不得参加同一合同项下的采购活动</w:t>
            </w:r>
          </w:p>
        </w:tc>
        <w:tc>
          <w:tcPr>
            <w:tcW w:w="4632" w:type="dxa"/>
            <w:vAlign w:val="center"/>
          </w:tcPr>
          <w:p w14:paraId="3E4CE9D0">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rPr>
            </w:pPr>
            <w:r>
              <w:rPr>
                <w:rFonts w:hint="eastAsia" w:ascii="宋体" w:hAnsi="宋体" w:cs="宋体"/>
                <w:snapToGrid w:val="0"/>
                <w:kern w:val="0"/>
                <w:sz w:val="24"/>
                <w:highlight w:val="none"/>
              </w:rPr>
              <w:t>提供</w:t>
            </w:r>
            <w:r>
              <w:rPr>
                <w:rFonts w:hint="eastAsia" w:ascii="宋体" w:hAnsi="宋体" w:cs="宋体"/>
                <w:snapToGrid w:val="0"/>
                <w:kern w:val="0"/>
                <w:sz w:val="24"/>
                <w:highlight w:val="none"/>
                <w:lang w:eastAsia="zh-CN"/>
              </w:rPr>
              <w:t>供应商</w:t>
            </w:r>
            <w:r>
              <w:rPr>
                <w:rFonts w:hint="eastAsia" w:ascii="宋体" w:hAnsi="宋体" w:cs="宋体"/>
                <w:snapToGrid w:val="0"/>
                <w:kern w:val="0"/>
                <w:sz w:val="24"/>
                <w:highlight w:val="none"/>
              </w:rPr>
              <w:t>信用承诺书。</w:t>
            </w:r>
          </w:p>
          <w:p w14:paraId="25BBAAC1">
            <w:pPr>
              <w:keepNext w:val="0"/>
              <w:keepLines w:val="0"/>
              <w:pageBreakBefore w:val="0"/>
              <w:widowControl w:val="0"/>
              <w:kinsoku/>
              <w:wordWrap/>
              <w:overflowPunct/>
              <w:topLinePunct/>
              <w:autoSpaceDE/>
              <w:autoSpaceDN/>
              <w:bidi w:val="0"/>
              <w:adjustRightInd w:val="0"/>
              <w:snapToGrid w:val="0"/>
              <w:spacing w:line="360" w:lineRule="auto"/>
              <w:ind w:left="21" w:leftChars="10" w:right="21" w:rightChars="10"/>
              <w:jc w:val="left"/>
              <w:textAlignment w:val="auto"/>
              <w:rPr>
                <w:rFonts w:ascii="宋体" w:hAnsi="宋体" w:cs="宋体"/>
                <w:snapToGrid w:val="0"/>
                <w:kern w:val="0"/>
                <w:sz w:val="24"/>
                <w:highlight w:val="none"/>
                <w:lang w:eastAsia="en-US"/>
              </w:rPr>
            </w:pPr>
            <w:r>
              <w:rPr>
                <w:rFonts w:hint="eastAsia" w:ascii="宋体" w:hAnsi="宋体" w:cs="宋体"/>
                <w:snapToGrid w:val="0"/>
                <w:kern w:val="0"/>
                <w:sz w:val="24"/>
                <w:highlight w:val="none"/>
              </w:rPr>
              <w:t>以上证明材料须符合要求、有效、完整。</w:t>
            </w:r>
            <w:r>
              <w:rPr>
                <w:rFonts w:hint="eastAsia" w:ascii="宋体" w:hAnsi="宋体" w:cs="宋体"/>
                <w:snapToGrid w:val="0"/>
                <w:kern w:val="0"/>
                <w:sz w:val="24"/>
                <w:highlight w:val="none"/>
                <w:lang w:eastAsia="en-US"/>
              </w:rPr>
              <w:t>否则，</w:t>
            </w:r>
            <w:r>
              <w:rPr>
                <w:rFonts w:hint="eastAsia" w:ascii="宋体" w:hAnsi="宋体" w:cs="宋体"/>
                <w:snapToGrid w:val="0"/>
                <w:kern w:val="0"/>
                <w:sz w:val="24"/>
                <w:highlight w:val="none"/>
              </w:rPr>
              <w:t>投标无效</w:t>
            </w:r>
            <w:r>
              <w:rPr>
                <w:rFonts w:hint="eastAsia" w:ascii="宋体" w:hAnsi="宋体" w:cs="宋体"/>
                <w:snapToGrid w:val="0"/>
                <w:kern w:val="0"/>
                <w:sz w:val="24"/>
                <w:highlight w:val="none"/>
                <w:lang w:eastAsia="en-US"/>
              </w:rPr>
              <w:t>。</w:t>
            </w:r>
          </w:p>
        </w:tc>
      </w:tr>
    </w:tbl>
    <w:p w14:paraId="144B1C97">
      <w:pPr>
        <w:keepNext w:val="0"/>
        <w:keepLines w:val="0"/>
        <w:pageBreakBefore w:val="0"/>
        <w:widowControl w:val="0"/>
        <w:kinsoku/>
        <w:overflowPunct/>
        <w:topLinePunct/>
        <w:bidi w:val="0"/>
        <w:adjustRightInd w:val="0"/>
        <w:snapToGrid w:val="0"/>
        <w:spacing w:before="120" w:beforeLines="50" w:line="360" w:lineRule="auto"/>
        <w:ind w:firstLine="480"/>
        <w:rPr>
          <w:rFonts w:ascii="宋体" w:hAnsi="宋体" w:cs="宋体"/>
          <w:snapToGrid w:val="0"/>
          <w:kern w:val="0"/>
          <w:sz w:val="24"/>
          <w:highlight w:val="none"/>
        </w:rPr>
      </w:pPr>
      <w:r>
        <w:rPr>
          <w:rFonts w:hint="eastAsia" w:ascii="宋体" w:hAnsi="宋体" w:cs="宋体"/>
          <w:snapToGrid w:val="0"/>
          <w:kern w:val="0"/>
          <w:sz w:val="24"/>
          <w:highlight w:val="none"/>
        </w:rPr>
        <w:t>说明：</w:t>
      </w:r>
    </w:p>
    <w:p w14:paraId="5639DC87">
      <w:pPr>
        <w:keepNext w:val="0"/>
        <w:keepLines w:val="0"/>
        <w:pageBreakBefore w:val="0"/>
        <w:widowControl w:val="0"/>
        <w:kinsoku/>
        <w:overflowPunct/>
        <w:bidi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kern w:val="0"/>
          <w:sz w:val="24"/>
          <w:highlight w:val="none"/>
        </w:rPr>
        <w:t>除上述内容外，投标人提供的其他材料，不作为资格审查的内容。</w:t>
      </w:r>
    </w:p>
    <w:p w14:paraId="74098AF7">
      <w:pPr>
        <w:keepNext w:val="0"/>
        <w:keepLines w:val="0"/>
        <w:pageBreakBefore w:val="0"/>
        <w:widowControl w:val="0"/>
        <w:kinsoku/>
        <w:overflowPunct/>
        <w:topLinePunct/>
        <w:bidi w:val="0"/>
        <w:adjustRightInd w:val="0"/>
        <w:snapToGrid w:val="0"/>
        <w:spacing w:line="360" w:lineRule="auto"/>
        <w:ind w:firstLine="482"/>
        <w:jc w:val="left"/>
        <w:outlineLvl w:val="1"/>
        <w:rPr>
          <w:rFonts w:hint="eastAsia" w:ascii="宋体" w:hAnsi="宋体" w:cs="宋体"/>
          <w:b/>
          <w:bCs/>
          <w:snapToGrid w:val="0"/>
          <w:kern w:val="0"/>
          <w:sz w:val="24"/>
          <w:highlight w:val="none"/>
        </w:rPr>
      </w:pPr>
      <w:bookmarkStart w:id="43" w:name="_Toc180347466"/>
    </w:p>
    <w:p w14:paraId="29FD76B5">
      <w:pPr>
        <w:keepNext w:val="0"/>
        <w:keepLines w:val="0"/>
        <w:pageBreakBefore w:val="0"/>
        <w:widowControl w:val="0"/>
        <w:kinsoku/>
        <w:overflowPunct/>
        <w:topLinePunct/>
        <w:bidi w:val="0"/>
        <w:adjustRightInd w:val="0"/>
        <w:snapToGrid w:val="0"/>
        <w:spacing w:line="360" w:lineRule="auto"/>
        <w:ind w:firstLine="482"/>
        <w:jc w:val="left"/>
        <w:outlineLvl w:val="1"/>
        <w:rPr>
          <w:rFonts w:ascii="宋体" w:hAnsi="宋体" w:cs="宋体"/>
          <w:b/>
          <w:bCs/>
          <w:snapToGrid w:val="0"/>
          <w:kern w:val="0"/>
          <w:sz w:val="24"/>
          <w:highlight w:val="none"/>
        </w:rPr>
      </w:pPr>
      <w:r>
        <w:rPr>
          <w:rFonts w:hint="eastAsia" w:ascii="宋体" w:hAnsi="宋体" w:cs="宋体"/>
          <w:b/>
          <w:bCs/>
          <w:snapToGrid w:val="0"/>
          <w:kern w:val="0"/>
          <w:sz w:val="24"/>
          <w:highlight w:val="none"/>
        </w:rPr>
        <w:t>二、符合性审查</w:t>
      </w:r>
      <w:bookmarkEnd w:id="43"/>
    </w:p>
    <w:tbl>
      <w:tblPr>
        <w:tblStyle w:val="23"/>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316"/>
        <w:gridCol w:w="2205"/>
        <w:gridCol w:w="5120"/>
      </w:tblGrid>
      <w:tr w14:paraId="5E0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947" w:type="dxa"/>
            <w:vAlign w:val="center"/>
          </w:tcPr>
          <w:p w14:paraId="6807FED1">
            <w:pPr>
              <w:keepNext w:val="0"/>
              <w:keepLines w:val="0"/>
              <w:pageBreakBefore w:val="0"/>
              <w:widowControl w:val="0"/>
              <w:kinsoku/>
              <w:overflowPunct/>
              <w:topLinePunct/>
              <w:bidi w:val="0"/>
              <w:adjustRightInd w:val="0"/>
              <w:snapToGrid w:val="0"/>
              <w:jc w:val="center"/>
              <w:rPr>
                <w:rFonts w:ascii="宋体" w:hAnsi="宋体" w:cs="宋体"/>
                <w:b/>
                <w:snapToGrid w:val="0"/>
                <w:kern w:val="0"/>
                <w:sz w:val="24"/>
                <w:highlight w:val="none"/>
              </w:rPr>
            </w:pPr>
            <w:r>
              <w:rPr>
                <w:rFonts w:hint="eastAsia" w:ascii="宋体" w:hAnsi="宋体" w:cs="宋体"/>
                <w:b/>
                <w:snapToGrid w:val="0"/>
                <w:kern w:val="0"/>
                <w:sz w:val="24"/>
                <w:highlight w:val="none"/>
              </w:rPr>
              <w:t>序号</w:t>
            </w:r>
          </w:p>
        </w:tc>
        <w:tc>
          <w:tcPr>
            <w:tcW w:w="1316" w:type="dxa"/>
            <w:vAlign w:val="center"/>
          </w:tcPr>
          <w:p w14:paraId="0A52F26B">
            <w:pPr>
              <w:keepNext w:val="0"/>
              <w:keepLines w:val="0"/>
              <w:pageBreakBefore w:val="0"/>
              <w:widowControl w:val="0"/>
              <w:kinsoku/>
              <w:overflowPunct/>
              <w:topLinePunct/>
              <w:bidi w:val="0"/>
              <w:adjustRightInd w:val="0"/>
              <w:snapToGrid w:val="0"/>
              <w:jc w:val="center"/>
              <w:rPr>
                <w:rFonts w:ascii="宋体" w:hAnsi="宋体" w:cs="宋体"/>
                <w:b/>
                <w:snapToGrid w:val="0"/>
                <w:kern w:val="0"/>
                <w:sz w:val="24"/>
                <w:highlight w:val="none"/>
              </w:rPr>
            </w:pPr>
            <w:r>
              <w:rPr>
                <w:rFonts w:hint="eastAsia" w:ascii="宋体" w:hAnsi="宋体" w:cs="宋体"/>
                <w:b/>
                <w:snapToGrid w:val="0"/>
                <w:kern w:val="0"/>
                <w:sz w:val="24"/>
                <w:highlight w:val="none"/>
              </w:rPr>
              <w:t>类型</w:t>
            </w:r>
          </w:p>
        </w:tc>
        <w:tc>
          <w:tcPr>
            <w:tcW w:w="2205" w:type="dxa"/>
            <w:vAlign w:val="center"/>
          </w:tcPr>
          <w:p w14:paraId="4C94C54F">
            <w:pPr>
              <w:keepNext w:val="0"/>
              <w:keepLines w:val="0"/>
              <w:pageBreakBefore w:val="0"/>
              <w:widowControl w:val="0"/>
              <w:kinsoku/>
              <w:overflowPunct/>
              <w:topLinePunct/>
              <w:bidi w:val="0"/>
              <w:adjustRightInd w:val="0"/>
              <w:snapToGrid w:val="0"/>
              <w:jc w:val="center"/>
              <w:rPr>
                <w:rFonts w:ascii="宋体" w:hAnsi="宋体" w:cs="宋体"/>
                <w:b/>
                <w:snapToGrid w:val="0"/>
                <w:kern w:val="0"/>
                <w:sz w:val="24"/>
                <w:highlight w:val="none"/>
              </w:rPr>
            </w:pPr>
            <w:r>
              <w:rPr>
                <w:rFonts w:hint="eastAsia" w:ascii="宋体" w:hAnsi="宋体" w:cs="宋体"/>
                <w:b/>
                <w:snapToGrid w:val="0"/>
                <w:kern w:val="0"/>
                <w:sz w:val="24"/>
                <w:highlight w:val="none"/>
              </w:rPr>
              <w:t>审查要求</w:t>
            </w:r>
          </w:p>
        </w:tc>
        <w:tc>
          <w:tcPr>
            <w:tcW w:w="5120" w:type="dxa"/>
            <w:vAlign w:val="center"/>
          </w:tcPr>
          <w:p w14:paraId="242E0590">
            <w:pPr>
              <w:keepNext w:val="0"/>
              <w:keepLines w:val="0"/>
              <w:pageBreakBefore w:val="0"/>
              <w:widowControl w:val="0"/>
              <w:kinsoku/>
              <w:overflowPunct/>
              <w:topLinePunct/>
              <w:bidi w:val="0"/>
              <w:adjustRightInd w:val="0"/>
              <w:snapToGrid w:val="0"/>
              <w:jc w:val="center"/>
              <w:rPr>
                <w:rFonts w:ascii="宋体" w:hAnsi="宋体" w:cs="宋体"/>
                <w:b/>
                <w:snapToGrid w:val="0"/>
                <w:kern w:val="0"/>
                <w:sz w:val="24"/>
                <w:highlight w:val="none"/>
              </w:rPr>
            </w:pPr>
            <w:r>
              <w:rPr>
                <w:rFonts w:hint="eastAsia" w:ascii="宋体" w:hAnsi="宋体" w:cs="宋体"/>
                <w:b/>
                <w:snapToGrid w:val="0"/>
                <w:kern w:val="0"/>
                <w:sz w:val="24"/>
                <w:highlight w:val="none"/>
              </w:rPr>
              <w:t>要求说明</w:t>
            </w:r>
          </w:p>
        </w:tc>
      </w:tr>
      <w:tr w14:paraId="24AA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7C6C82D4">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w:t>
            </w:r>
          </w:p>
        </w:tc>
        <w:tc>
          <w:tcPr>
            <w:tcW w:w="1316" w:type="dxa"/>
            <w:vAlign w:val="center"/>
          </w:tcPr>
          <w:p w14:paraId="3C5E9B85">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商务</w:t>
            </w:r>
          </w:p>
        </w:tc>
        <w:tc>
          <w:tcPr>
            <w:tcW w:w="2205" w:type="dxa"/>
            <w:vAlign w:val="center"/>
          </w:tcPr>
          <w:p w14:paraId="28ECD179">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法定代表人（负责人）身份证明</w:t>
            </w:r>
          </w:p>
        </w:tc>
        <w:tc>
          <w:tcPr>
            <w:tcW w:w="5120" w:type="dxa"/>
            <w:vAlign w:val="center"/>
          </w:tcPr>
          <w:p w14:paraId="5A9F34EE">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提供《法定代表人（负责人）身份证明书》</w:t>
            </w:r>
          </w:p>
          <w:p w14:paraId="6DBA70F1">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以上证明书须根据招标文件中的格式内容提供，内容须符合要求、完整、准确、真实、有效。否则，投标无效。</w:t>
            </w:r>
          </w:p>
        </w:tc>
      </w:tr>
      <w:tr w14:paraId="5E43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25A813F7">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w:t>
            </w:r>
          </w:p>
        </w:tc>
        <w:tc>
          <w:tcPr>
            <w:tcW w:w="1316" w:type="dxa"/>
            <w:vAlign w:val="center"/>
          </w:tcPr>
          <w:p w14:paraId="52DA2F60">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商务</w:t>
            </w:r>
          </w:p>
        </w:tc>
        <w:tc>
          <w:tcPr>
            <w:tcW w:w="2205" w:type="dxa"/>
            <w:vAlign w:val="center"/>
          </w:tcPr>
          <w:p w14:paraId="12AF02D2">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法定代表人（负责人）授权委托书</w:t>
            </w:r>
          </w:p>
        </w:tc>
        <w:tc>
          <w:tcPr>
            <w:tcW w:w="5120" w:type="dxa"/>
            <w:vAlign w:val="center"/>
          </w:tcPr>
          <w:p w14:paraId="3F14E0B3">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提供《法定代表人（负责人）授权委托书》</w:t>
            </w:r>
          </w:p>
          <w:p w14:paraId="25225AE8">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以上委托书须根据招标文件中的格式内容提供，内容须符合要求、完整、准确、真实、有效。否则，投标无效。</w:t>
            </w:r>
          </w:p>
        </w:tc>
      </w:tr>
      <w:tr w14:paraId="2CBB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2956EA63">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w:t>
            </w:r>
          </w:p>
        </w:tc>
        <w:tc>
          <w:tcPr>
            <w:tcW w:w="1316" w:type="dxa"/>
            <w:vAlign w:val="center"/>
          </w:tcPr>
          <w:p w14:paraId="4BAE91BB">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商务</w:t>
            </w:r>
          </w:p>
        </w:tc>
        <w:tc>
          <w:tcPr>
            <w:tcW w:w="2205" w:type="dxa"/>
            <w:vAlign w:val="center"/>
          </w:tcPr>
          <w:p w14:paraId="29D02F5A">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投标函</w:t>
            </w:r>
          </w:p>
        </w:tc>
        <w:tc>
          <w:tcPr>
            <w:tcW w:w="5120" w:type="dxa"/>
            <w:vAlign w:val="center"/>
          </w:tcPr>
          <w:p w14:paraId="3B3140EC">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提供《投标函》</w:t>
            </w:r>
          </w:p>
          <w:p w14:paraId="4EB7F14B">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投标函须根据招标文件中的格式内容提供，内容须符合要求、完整、准确、真实、有效。否则，投标无效。</w:t>
            </w:r>
          </w:p>
        </w:tc>
      </w:tr>
      <w:tr w14:paraId="5D50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06D0FB4A">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w:t>
            </w:r>
          </w:p>
        </w:tc>
        <w:tc>
          <w:tcPr>
            <w:tcW w:w="1316" w:type="dxa"/>
            <w:vAlign w:val="center"/>
          </w:tcPr>
          <w:p w14:paraId="1EAB50D0">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lang w:val="en-US" w:eastAsia="zh-CN"/>
              </w:rPr>
              <w:t>报价</w:t>
            </w:r>
          </w:p>
        </w:tc>
        <w:tc>
          <w:tcPr>
            <w:tcW w:w="2205" w:type="dxa"/>
            <w:vAlign w:val="center"/>
          </w:tcPr>
          <w:p w14:paraId="70926BC1">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开标一览表</w:t>
            </w:r>
          </w:p>
        </w:tc>
        <w:tc>
          <w:tcPr>
            <w:tcW w:w="5120" w:type="dxa"/>
            <w:vAlign w:val="center"/>
          </w:tcPr>
          <w:p w14:paraId="4AFEEB1A">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提供《开标一览表》、《分项报价表》（若要求）</w:t>
            </w:r>
          </w:p>
          <w:p w14:paraId="403125FD">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hint="eastAsia" w:ascii="宋体" w:hAnsi="宋体" w:cs="宋体"/>
                <w:sz w:val="24"/>
                <w:highlight w:val="none"/>
              </w:rPr>
            </w:pPr>
            <w:r>
              <w:rPr>
                <w:rFonts w:hint="eastAsia" w:ascii="宋体" w:hAnsi="宋体" w:cs="宋体"/>
                <w:sz w:val="24"/>
                <w:highlight w:val="none"/>
              </w:rPr>
              <w:t>以上材料须根据招标文件中的格式内容提供，内容须符合要求、完整、准确、无漏项、无缺项、无可选择或可调整报价。否则，投标无效。</w:t>
            </w:r>
          </w:p>
        </w:tc>
      </w:tr>
      <w:tr w14:paraId="00F0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0D4BAB53">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w:t>
            </w:r>
          </w:p>
        </w:tc>
        <w:tc>
          <w:tcPr>
            <w:tcW w:w="1316" w:type="dxa"/>
            <w:vAlign w:val="center"/>
          </w:tcPr>
          <w:p w14:paraId="145A1037">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商务</w:t>
            </w:r>
          </w:p>
        </w:tc>
        <w:tc>
          <w:tcPr>
            <w:tcW w:w="2205" w:type="dxa"/>
            <w:vAlign w:val="center"/>
          </w:tcPr>
          <w:p w14:paraId="0620ABC6">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lang w:eastAsia="zh-CN"/>
              </w:rPr>
              <w:t>投标文件商务要求响应表</w:t>
            </w:r>
          </w:p>
        </w:tc>
        <w:tc>
          <w:tcPr>
            <w:tcW w:w="5120" w:type="dxa"/>
            <w:vAlign w:val="center"/>
          </w:tcPr>
          <w:p w14:paraId="54C39082">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提供《</w:t>
            </w:r>
            <w:r>
              <w:rPr>
                <w:rFonts w:hint="eastAsia" w:ascii="宋体" w:hAnsi="宋体" w:cs="宋体"/>
                <w:sz w:val="24"/>
                <w:highlight w:val="none"/>
                <w:lang w:eastAsia="zh-CN"/>
              </w:rPr>
              <w:t>投标文件商务要求响应表</w:t>
            </w:r>
            <w:r>
              <w:rPr>
                <w:rFonts w:hint="eastAsia" w:ascii="宋体" w:hAnsi="宋体" w:cs="宋体"/>
                <w:sz w:val="24"/>
                <w:highlight w:val="none"/>
              </w:rPr>
              <w:t>》</w:t>
            </w:r>
          </w:p>
          <w:p w14:paraId="4EAD12AD">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以上材料须根据招标文件中的格式内容提供，内容须符合要求、完整、准确、真实、无漏项、无缺项。否则，投标无效。</w:t>
            </w:r>
          </w:p>
        </w:tc>
      </w:tr>
      <w:tr w14:paraId="20E9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1734D4AF">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6</w:t>
            </w:r>
          </w:p>
        </w:tc>
        <w:tc>
          <w:tcPr>
            <w:tcW w:w="1316" w:type="dxa"/>
            <w:vAlign w:val="center"/>
          </w:tcPr>
          <w:p w14:paraId="5D27D3BC">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技术</w:t>
            </w:r>
          </w:p>
        </w:tc>
        <w:tc>
          <w:tcPr>
            <w:tcW w:w="2205" w:type="dxa"/>
            <w:vAlign w:val="center"/>
          </w:tcPr>
          <w:p w14:paraId="1FEFB3E4">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kern w:val="0"/>
                <w:sz w:val="24"/>
                <w:highlight w:val="none"/>
              </w:rPr>
            </w:pPr>
            <w:r>
              <w:rPr>
                <w:rFonts w:hint="eastAsia" w:ascii="宋体" w:hAnsi="宋体" w:cs="宋体"/>
                <w:snapToGrid w:val="0"/>
                <w:kern w:val="0"/>
                <w:sz w:val="24"/>
                <w:highlight w:val="none"/>
                <w:lang w:eastAsia="zh-CN"/>
              </w:rPr>
              <w:t>投标文件技术要求响应表</w:t>
            </w:r>
          </w:p>
        </w:tc>
        <w:tc>
          <w:tcPr>
            <w:tcW w:w="5120" w:type="dxa"/>
            <w:vAlign w:val="center"/>
          </w:tcPr>
          <w:p w14:paraId="037162B8">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b/>
                <w:spacing w:val="20"/>
                <w:kern w:val="0"/>
                <w:sz w:val="24"/>
                <w:highlight w:val="none"/>
              </w:rPr>
            </w:pPr>
            <w:r>
              <w:rPr>
                <w:rFonts w:hint="eastAsia" w:ascii="宋体" w:hAnsi="宋体" w:cs="宋体"/>
                <w:sz w:val="24"/>
                <w:highlight w:val="none"/>
              </w:rPr>
              <w:t>提供《</w:t>
            </w:r>
            <w:r>
              <w:rPr>
                <w:rFonts w:hint="eastAsia" w:ascii="宋体" w:hAnsi="宋体" w:cs="宋体"/>
                <w:bCs/>
                <w:kern w:val="0"/>
                <w:sz w:val="24"/>
                <w:highlight w:val="none"/>
                <w:lang w:eastAsia="zh-CN"/>
              </w:rPr>
              <w:t>投标文件技术要求响应表</w:t>
            </w:r>
            <w:r>
              <w:rPr>
                <w:rFonts w:hint="eastAsia" w:ascii="宋体" w:hAnsi="宋体" w:cs="宋体"/>
                <w:sz w:val="24"/>
                <w:highlight w:val="none"/>
              </w:rPr>
              <w:t>》</w:t>
            </w:r>
          </w:p>
          <w:p w14:paraId="285F0BE7">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hint="eastAsia" w:ascii="宋体" w:hAnsi="宋体" w:cs="宋体"/>
                <w:sz w:val="24"/>
                <w:highlight w:val="none"/>
              </w:rPr>
            </w:pPr>
            <w:r>
              <w:rPr>
                <w:rFonts w:hint="eastAsia" w:ascii="宋体" w:hAnsi="宋体" w:cs="宋体"/>
                <w:sz w:val="24"/>
                <w:highlight w:val="none"/>
              </w:rPr>
              <w:t>以上材料须根据招标文件中的格式内容提供，内容须符合要求、完整、准确、真实、无漏项、无缺项。否则，投标无效。</w:t>
            </w:r>
          </w:p>
          <w:p w14:paraId="2443E7CD">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hint="eastAsia" w:ascii="宋体" w:hAnsi="宋体" w:cs="宋体"/>
                <w:sz w:val="24"/>
                <w:highlight w:val="none"/>
              </w:rPr>
            </w:pPr>
            <w:r>
              <w:rPr>
                <w:rFonts w:hint="eastAsia" w:ascii="宋体" w:hAnsi="宋体" w:eastAsia="宋体" w:cs="宋体"/>
                <w:color w:val="auto"/>
                <w:kern w:val="0"/>
                <w:sz w:val="24"/>
                <w:highlight w:val="none"/>
              </w:rPr>
              <w:t>对照本</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文件第五部分“</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w:t>
            </w:r>
            <w:r>
              <w:rPr>
                <w:rFonts w:hint="eastAsia" w:ascii="宋体" w:hAnsi="宋体" w:eastAsia="宋体" w:cs="宋体"/>
                <w:color w:val="auto"/>
                <w:kern w:val="0"/>
                <w:sz w:val="24"/>
                <w:highlight w:val="none"/>
                <w:lang w:val="en-US" w:eastAsia="zh-CN"/>
              </w:rPr>
              <w:t>要求</w:t>
            </w:r>
            <w:r>
              <w:rPr>
                <w:rFonts w:hint="eastAsia" w:ascii="宋体" w:hAnsi="宋体" w:eastAsia="宋体" w:cs="宋体"/>
                <w:color w:val="auto"/>
                <w:kern w:val="0"/>
                <w:sz w:val="24"/>
                <w:highlight w:val="none"/>
              </w:rPr>
              <w:t>”中的内容和</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文件的响应情况进行审查；或</w:t>
            </w:r>
            <w:r>
              <w:rPr>
                <w:rFonts w:hint="eastAsia" w:ascii="宋体" w:hAnsi="宋体" w:eastAsia="宋体" w:cs="宋体"/>
                <w:color w:val="auto"/>
                <w:kern w:val="0"/>
                <w:sz w:val="24"/>
                <w:highlight w:val="none"/>
                <w:lang w:val="en-US" w:eastAsia="zh-CN"/>
              </w:rPr>
              <w:t>评标委员会</w:t>
            </w:r>
            <w:r>
              <w:rPr>
                <w:rFonts w:hint="eastAsia" w:ascii="宋体" w:hAnsi="宋体" w:eastAsia="宋体" w:cs="宋体"/>
                <w:color w:val="auto"/>
                <w:kern w:val="0"/>
                <w:sz w:val="24"/>
                <w:highlight w:val="none"/>
              </w:rPr>
              <w:t>共同认定属于</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文件存在重大偏离的情况进行审查，没有做出实质性、符合性响应的做无效投标处理。</w:t>
            </w:r>
          </w:p>
        </w:tc>
      </w:tr>
      <w:tr w14:paraId="2317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324BE868">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7</w:t>
            </w:r>
          </w:p>
        </w:tc>
        <w:tc>
          <w:tcPr>
            <w:tcW w:w="1316" w:type="dxa"/>
            <w:vAlign w:val="center"/>
          </w:tcPr>
          <w:p w14:paraId="614013F4">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商务</w:t>
            </w:r>
          </w:p>
        </w:tc>
        <w:tc>
          <w:tcPr>
            <w:tcW w:w="2205" w:type="dxa"/>
            <w:vAlign w:val="center"/>
          </w:tcPr>
          <w:p w14:paraId="45C1C40D">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投标文件封面</w:t>
            </w:r>
          </w:p>
        </w:tc>
        <w:tc>
          <w:tcPr>
            <w:tcW w:w="5120" w:type="dxa"/>
            <w:vAlign w:val="center"/>
          </w:tcPr>
          <w:p w14:paraId="09AC2762">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投标文件封面须按招标文件中提供的格式内容填写</w:t>
            </w:r>
          </w:p>
          <w:p w14:paraId="4AA4D2CE">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投标文件封面应符合要求、完整，否则，投标无效。</w:t>
            </w:r>
          </w:p>
        </w:tc>
      </w:tr>
      <w:tr w14:paraId="6551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7" w:type="dxa"/>
            <w:vAlign w:val="center"/>
          </w:tcPr>
          <w:p w14:paraId="3B77089E">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8</w:t>
            </w:r>
          </w:p>
        </w:tc>
        <w:tc>
          <w:tcPr>
            <w:tcW w:w="1316" w:type="dxa"/>
            <w:vAlign w:val="center"/>
          </w:tcPr>
          <w:p w14:paraId="644D65A3">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技术</w:t>
            </w:r>
          </w:p>
        </w:tc>
        <w:tc>
          <w:tcPr>
            <w:tcW w:w="2205" w:type="dxa"/>
            <w:vAlign w:val="center"/>
          </w:tcPr>
          <w:p w14:paraId="7704E3E9">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政策性要求</w:t>
            </w:r>
          </w:p>
        </w:tc>
        <w:tc>
          <w:tcPr>
            <w:tcW w:w="5120" w:type="dxa"/>
            <w:vAlign w:val="center"/>
          </w:tcPr>
          <w:p w14:paraId="103C9465">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提供响应政策性要求证明材料</w:t>
            </w:r>
            <w:r>
              <w:rPr>
                <w:rFonts w:hint="eastAsia" w:ascii="Times New Roman" w:hAnsi="Times New Roman" w:eastAsia="宋体" w:cs="Times New Roman"/>
                <w:color w:val="000000"/>
                <w:sz w:val="24"/>
                <w:szCs w:val="24"/>
                <w:highlight w:val="none"/>
                <w:lang w:val="en-US" w:eastAsia="zh-CN"/>
              </w:rPr>
              <w:t>（如不涉及，视为符合）</w:t>
            </w:r>
          </w:p>
          <w:p w14:paraId="2A67BF46">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s="宋体"/>
                <w:sz w:val="24"/>
                <w:highlight w:val="none"/>
              </w:rPr>
            </w:pPr>
            <w:r>
              <w:rPr>
                <w:rFonts w:hint="eastAsia" w:ascii="宋体" w:hAnsi="宋体" w:cs="宋体"/>
                <w:sz w:val="24"/>
                <w:highlight w:val="none"/>
              </w:rPr>
              <w:t>以上材料须根据招标文件中的格式内容提供（未提供格式的自拟），内容须符合要求、完整、准确、真实、无漏项、无缺项。否则，投标无效。</w:t>
            </w:r>
          </w:p>
        </w:tc>
      </w:tr>
    </w:tbl>
    <w:p w14:paraId="6FE52EB6">
      <w:pPr>
        <w:keepNext w:val="0"/>
        <w:keepLines w:val="0"/>
        <w:pageBreakBefore w:val="0"/>
        <w:widowControl w:val="0"/>
        <w:kinsoku/>
        <w:overflowPunct/>
        <w:topLinePunct/>
        <w:bidi w:val="0"/>
        <w:adjustRightInd w:val="0"/>
        <w:snapToGrid w:val="0"/>
        <w:spacing w:before="120" w:beforeLines="50" w:line="360" w:lineRule="auto"/>
        <w:ind w:firstLine="480"/>
        <w:rPr>
          <w:rFonts w:ascii="宋体" w:hAnsi="宋体" w:cs="宋体"/>
          <w:sz w:val="24"/>
          <w:highlight w:val="none"/>
        </w:rPr>
      </w:pPr>
      <w:r>
        <w:rPr>
          <w:rFonts w:hint="eastAsia" w:ascii="宋体" w:hAnsi="宋体" w:cs="宋体"/>
          <w:sz w:val="24"/>
          <w:highlight w:val="none"/>
        </w:rPr>
        <w:t>说明：</w:t>
      </w:r>
    </w:p>
    <w:p w14:paraId="49459874">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1.符合性审查的内容，经评标委员会成员按照少数服从多数的原则，确定其没有做出实质性、符合性响应的，将导致投标无效。</w:t>
      </w:r>
    </w:p>
    <w:p w14:paraId="0D4E4F22">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2.投标文件中项目名称、项目编号等存在前后不一致情形的，可按照招标文件要求做出澄清；如投标文件中所涉及内容全部与招标文件不一致，按无效投标处理。</w:t>
      </w:r>
    </w:p>
    <w:p w14:paraId="5A0C8D7A">
      <w:pPr>
        <w:keepNext w:val="0"/>
        <w:keepLines w:val="0"/>
        <w:pageBreakBefore w:val="0"/>
        <w:widowControl w:val="0"/>
        <w:kinsoku/>
        <w:overflowPunct/>
        <w:bidi w:val="0"/>
        <w:adjustRightInd w:val="0"/>
        <w:snapToGrid w:val="0"/>
        <w:spacing w:line="360" w:lineRule="auto"/>
        <w:ind w:firstLine="482" w:firstLineChars="200"/>
        <w:outlineLvl w:val="1"/>
        <w:rPr>
          <w:rFonts w:ascii="宋体" w:hAnsi="宋体" w:cs="宋体"/>
          <w:b/>
          <w:color w:val="000000" w:themeColor="text1"/>
          <w:kern w:val="0"/>
          <w:sz w:val="24"/>
          <w:highlight w:val="none"/>
          <w14:textFill>
            <w14:solidFill>
              <w14:schemeClr w14:val="tx1"/>
            </w14:solidFill>
          </w14:textFill>
        </w:rPr>
      </w:pPr>
      <w:bookmarkStart w:id="44" w:name="_Toc180347467"/>
      <w:r>
        <w:rPr>
          <w:rFonts w:hint="eastAsia" w:ascii="宋体" w:hAnsi="宋体" w:cs="宋体"/>
          <w:b/>
          <w:color w:val="000000" w:themeColor="text1"/>
          <w:kern w:val="0"/>
          <w:sz w:val="24"/>
          <w:highlight w:val="none"/>
          <w14:textFill>
            <w14:solidFill>
              <w14:schemeClr w14:val="tx1"/>
            </w14:solidFill>
          </w14:textFill>
        </w:rPr>
        <w:t>三、报价符合性审查的内容及标准</w:t>
      </w:r>
      <w:bookmarkEnd w:id="44"/>
    </w:p>
    <w:tbl>
      <w:tblPr>
        <w:tblStyle w:val="23"/>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00"/>
        <w:gridCol w:w="2556"/>
        <w:gridCol w:w="4645"/>
      </w:tblGrid>
      <w:tr w14:paraId="09EB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76" w:type="dxa"/>
            <w:vAlign w:val="center"/>
          </w:tcPr>
          <w:p w14:paraId="35BB880E">
            <w:pPr>
              <w:keepNext w:val="0"/>
              <w:keepLines w:val="0"/>
              <w:pageBreakBefore w:val="0"/>
              <w:widowControl w:val="0"/>
              <w:kinsoku/>
              <w:overflowPunct/>
              <w:bidi w:val="0"/>
              <w:adjustRightInd w:val="0"/>
              <w:snapToGrid w:val="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300" w:type="dxa"/>
            <w:vAlign w:val="center"/>
          </w:tcPr>
          <w:p w14:paraId="7801AF63">
            <w:pPr>
              <w:keepNext w:val="0"/>
              <w:keepLines w:val="0"/>
              <w:pageBreakBefore w:val="0"/>
              <w:widowControl w:val="0"/>
              <w:kinsoku/>
              <w:overflowPunct/>
              <w:bidi w:val="0"/>
              <w:adjustRightInd w:val="0"/>
              <w:snapToGrid w:val="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类型</w:t>
            </w:r>
          </w:p>
        </w:tc>
        <w:tc>
          <w:tcPr>
            <w:tcW w:w="2556" w:type="dxa"/>
            <w:vAlign w:val="center"/>
          </w:tcPr>
          <w:p w14:paraId="0A5D49BB">
            <w:pPr>
              <w:keepNext w:val="0"/>
              <w:keepLines w:val="0"/>
              <w:pageBreakBefore w:val="0"/>
              <w:widowControl w:val="0"/>
              <w:kinsoku/>
              <w:overflowPunct/>
              <w:bidi w:val="0"/>
              <w:adjustRightInd w:val="0"/>
              <w:snapToGrid w:val="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要求</w:t>
            </w:r>
          </w:p>
        </w:tc>
        <w:tc>
          <w:tcPr>
            <w:tcW w:w="4645" w:type="dxa"/>
            <w:vAlign w:val="center"/>
          </w:tcPr>
          <w:p w14:paraId="13ECC275">
            <w:pPr>
              <w:keepNext w:val="0"/>
              <w:keepLines w:val="0"/>
              <w:pageBreakBefore w:val="0"/>
              <w:widowControl w:val="0"/>
              <w:kinsoku/>
              <w:overflowPunct/>
              <w:bidi w:val="0"/>
              <w:adjustRightInd w:val="0"/>
              <w:snapToGrid w:val="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要求说明</w:t>
            </w:r>
          </w:p>
        </w:tc>
      </w:tr>
      <w:tr w14:paraId="310E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6" w:type="dxa"/>
            <w:vAlign w:val="center"/>
          </w:tcPr>
          <w:p w14:paraId="0F1C3CD8">
            <w:pPr>
              <w:keepNext w:val="0"/>
              <w:keepLines w:val="0"/>
              <w:pageBreakBefore w:val="0"/>
              <w:widowControl w:val="0"/>
              <w:kinsoku/>
              <w:overflowPunct/>
              <w:bidi w:val="0"/>
              <w:adjustRightInd w:val="0"/>
              <w:snapToGrid w:val="0"/>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300" w:type="dxa"/>
            <w:vAlign w:val="center"/>
          </w:tcPr>
          <w:p w14:paraId="3662B2D8">
            <w:pPr>
              <w:keepNext w:val="0"/>
              <w:keepLines w:val="0"/>
              <w:pageBreakBefore w:val="0"/>
              <w:widowControl w:val="0"/>
              <w:kinsoku/>
              <w:overflowPunct/>
              <w:bidi w:val="0"/>
              <w:adjustRightInd w:val="0"/>
              <w:snapToGrid w:val="0"/>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报价</w:t>
            </w:r>
          </w:p>
        </w:tc>
        <w:tc>
          <w:tcPr>
            <w:tcW w:w="2556" w:type="dxa"/>
            <w:vAlign w:val="center"/>
          </w:tcPr>
          <w:p w14:paraId="12F806E9">
            <w:pPr>
              <w:keepNext w:val="0"/>
              <w:keepLines w:val="0"/>
              <w:pageBreakBefore w:val="0"/>
              <w:widowControl w:val="0"/>
              <w:kinsoku/>
              <w:overflowPunct/>
              <w:bidi w:val="0"/>
              <w:adjustRightInd w:val="0"/>
              <w:snapToGrid w:val="0"/>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投标文件的报价审核</w:t>
            </w:r>
          </w:p>
        </w:tc>
        <w:tc>
          <w:tcPr>
            <w:tcW w:w="4645" w:type="dxa"/>
            <w:vAlign w:val="center"/>
          </w:tcPr>
          <w:p w14:paraId="3D35D88D">
            <w:pPr>
              <w:keepNext w:val="0"/>
              <w:keepLines w:val="0"/>
              <w:pageBreakBefore w:val="0"/>
              <w:widowControl w:val="0"/>
              <w:tabs>
                <w:tab w:val="left" w:pos="567"/>
              </w:tabs>
              <w:kinsoku/>
              <w:overflowPunct/>
              <w:bidi w:val="0"/>
              <w:adjustRightInd w:val="0"/>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审查投标人报价是否超出最高限价，存在超出最高限价的，投标无效。</w:t>
            </w:r>
          </w:p>
        </w:tc>
      </w:tr>
    </w:tbl>
    <w:p w14:paraId="78F78E98">
      <w:pPr>
        <w:keepNext w:val="0"/>
        <w:keepLines w:val="0"/>
        <w:pageBreakBefore w:val="0"/>
        <w:widowControl w:val="0"/>
        <w:kinsoku/>
        <w:overflowPunct/>
        <w:topLinePunct/>
        <w:bidi w:val="0"/>
        <w:adjustRightInd w:val="0"/>
        <w:snapToGrid w:val="0"/>
        <w:spacing w:before="120" w:beforeLines="50" w:line="360" w:lineRule="auto"/>
        <w:ind w:firstLine="482" w:firstLineChars="200"/>
        <w:jc w:val="left"/>
        <w:outlineLvl w:val="1"/>
        <w:rPr>
          <w:rFonts w:ascii="宋体" w:hAnsi="宋体" w:cs="宋体"/>
          <w:b/>
          <w:bCs/>
          <w:snapToGrid w:val="0"/>
          <w:kern w:val="0"/>
          <w:sz w:val="24"/>
          <w:highlight w:val="none"/>
        </w:rPr>
      </w:pPr>
      <w:bookmarkStart w:id="45" w:name="_Toc180347468"/>
      <w:r>
        <w:rPr>
          <w:rFonts w:hint="eastAsia" w:ascii="宋体" w:hAnsi="宋体" w:cs="宋体"/>
          <w:b/>
          <w:bCs/>
          <w:snapToGrid w:val="0"/>
          <w:kern w:val="0"/>
          <w:sz w:val="24"/>
          <w:highlight w:val="none"/>
        </w:rPr>
        <w:t>四、落实政府采购政策性要求的评审内容及标准</w:t>
      </w:r>
      <w:bookmarkEnd w:id="45"/>
    </w:p>
    <w:p w14:paraId="6B07AFA7">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1.进口货物评审标准</w:t>
      </w:r>
    </w:p>
    <w:p w14:paraId="54F47AF6">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采购货物未特别注明“</w:t>
      </w:r>
      <w:r>
        <w:rPr>
          <w:rFonts w:hint="eastAsia" w:ascii="宋体" w:hAnsi="宋体" w:cs="宋体"/>
          <w:sz w:val="24"/>
          <w:highlight w:val="none"/>
          <w:lang w:eastAsia="zh-CN"/>
        </w:rPr>
        <w:t>进口产品</w:t>
      </w:r>
      <w:r>
        <w:rPr>
          <w:rFonts w:hint="eastAsia" w:ascii="宋体" w:hAnsi="宋体" w:cs="宋体"/>
          <w:sz w:val="24"/>
          <w:highlight w:val="none"/>
        </w:rPr>
        <w:t>”字样的，均必须采购国产产品，即非“通过中国海关报关验放进入中国境内且产自关境外的产品”，采购产品各项技术标准必须符合国家强制性标准。特别注明“</w:t>
      </w:r>
      <w:r>
        <w:rPr>
          <w:rFonts w:hint="eastAsia" w:ascii="宋体" w:hAnsi="宋体" w:cs="宋体"/>
          <w:sz w:val="24"/>
          <w:highlight w:val="none"/>
          <w:lang w:eastAsia="zh-CN"/>
        </w:rPr>
        <w:t>进口产品</w:t>
      </w:r>
      <w:r>
        <w:rPr>
          <w:rFonts w:hint="eastAsia" w:ascii="宋体" w:hAnsi="宋体" w:cs="宋体"/>
          <w:sz w:val="24"/>
          <w:highlight w:val="none"/>
        </w:rPr>
        <w:t>”字样的，优先采购向我国企业转让技术、与我国企业签订消化吸收再创新方案的投标人的进口产品，如果有能够满足采购需求的国产产品参与，应当按照公平竞争的原则进行评审。</w:t>
      </w:r>
      <w:r>
        <w:rPr>
          <w:rFonts w:hint="eastAsia" w:ascii="宋体" w:hAnsi="宋体" w:cs="宋体"/>
          <w:b/>
          <w:bCs/>
          <w:sz w:val="24"/>
          <w:highlight w:val="none"/>
        </w:rPr>
        <w:t>如未特别标明“</w:t>
      </w:r>
      <w:r>
        <w:rPr>
          <w:rFonts w:hint="eastAsia" w:ascii="宋体" w:hAnsi="宋体" w:cs="宋体"/>
          <w:b/>
          <w:bCs/>
          <w:sz w:val="24"/>
          <w:highlight w:val="none"/>
          <w:lang w:eastAsia="zh-CN"/>
        </w:rPr>
        <w:t>进口产品</w:t>
      </w:r>
      <w:r>
        <w:rPr>
          <w:rFonts w:hint="eastAsia" w:ascii="宋体" w:hAnsi="宋体" w:cs="宋体"/>
          <w:b/>
          <w:bCs/>
          <w:sz w:val="24"/>
          <w:highlight w:val="none"/>
        </w:rPr>
        <w:t>”字样，投标人投报了进口产品的，按无效投标处理。</w:t>
      </w:r>
    </w:p>
    <w:p w14:paraId="21969699">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2.强制节能产品</w:t>
      </w:r>
    </w:p>
    <w:p w14:paraId="6FBC383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14:paraId="2B939200">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3.本项目所采购的货物中如包含计算机，必须提供《</w:t>
      </w:r>
      <w:r>
        <w:rPr>
          <w:rFonts w:hint="eastAsia" w:ascii="宋体" w:hAnsi="宋体" w:cs="宋体"/>
          <w:b/>
          <w:sz w:val="24"/>
          <w:highlight w:val="none"/>
        </w:rPr>
        <w:t>正版软件承诺函</w:t>
      </w:r>
      <w:r>
        <w:rPr>
          <w:rFonts w:hint="eastAsia" w:ascii="宋体" w:hAnsi="宋体" w:cs="宋体"/>
          <w:b/>
          <w:bCs/>
          <w:kern w:val="0"/>
          <w:sz w:val="24"/>
          <w:highlight w:val="none"/>
        </w:rPr>
        <w:t>》，否则，投标无效。</w:t>
      </w:r>
    </w:p>
    <w:p w14:paraId="43862B81">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4.</w:t>
      </w:r>
      <w:r>
        <w:rPr>
          <w:rFonts w:hint="eastAsia" w:ascii="宋体" w:hAnsi="宋体" w:cs="宋体"/>
          <w:kern w:val="0"/>
          <w:sz w:val="24"/>
          <w:highlight w:val="none"/>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投标无效。</w:t>
      </w:r>
    </w:p>
    <w:p w14:paraId="385C3632">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5.中小微企业参加本项目</w:t>
      </w:r>
    </w:p>
    <w:p w14:paraId="42F0F35F">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5.1如本项目是专门面向中小企业的采购项目，须如实填写《中小企业声明函》。且声明函内容须符合要求、完整、准确（</w:t>
      </w:r>
      <w:r>
        <w:rPr>
          <w:rFonts w:hint="eastAsia" w:ascii="宋体" w:hAnsi="宋体" w:cs="宋体"/>
          <w:snapToGrid w:val="0"/>
          <w:kern w:val="0"/>
          <w:sz w:val="24"/>
          <w:highlight w:val="none"/>
        </w:rPr>
        <w:t>除评审专家可要求其澄清的内容外</w:t>
      </w:r>
      <w:r>
        <w:rPr>
          <w:rFonts w:hint="eastAsia" w:ascii="宋体" w:hAnsi="宋体" w:cs="宋体"/>
          <w:sz w:val="24"/>
          <w:highlight w:val="none"/>
        </w:rPr>
        <w:t>），否则，投标无效。</w:t>
      </w:r>
    </w:p>
    <w:p w14:paraId="5469C76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b/>
          <w:bCs/>
          <w:kern w:val="0"/>
          <w:sz w:val="24"/>
          <w:highlight w:val="none"/>
        </w:rPr>
      </w:pPr>
      <w:r>
        <w:rPr>
          <w:rFonts w:hint="eastAsia" w:ascii="宋体" w:hAnsi="宋体" w:cs="宋体"/>
          <w:kern w:val="0"/>
          <w:sz w:val="24"/>
          <w:highlight w:val="none"/>
        </w:rPr>
        <w:t>5.2如本项目是非</w:t>
      </w:r>
      <w:r>
        <w:rPr>
          <w:rFonts w:hint="eastAsia" w:ascii="宋体" w:hAnsi="宋体" w:cs="宋体"/>
          <w:sz w:val="24"/>
          <w:highlight w:val="none"/>
        </w:rPr>
        <w:t>专门面向中小企业的采购项目，需如实填写《中小企业声明函》。且声明函内容须符合要求、完整、准确（</w:t>
      </w:r>
      <w:r>
        <w:rPr>
          <w:rFonts w:hint="eastAsia" w:ascii="宋体" w:hAnsi="宋体" w:cs="宋体"/>
          <w:snapToGrid w:val="0"/>
          <w:kern w:val="0"/>
          <w:sz w:val="24"/>
          <w:highlight w:val="none"/>
        </w:rPr>
        <w:t>除评审专家可要求其澄清的内容外</w:t>
      </w:r>
      <w:r>
        <w:rPr>
          <w:rFonts w:hint="eastAsia" w:ascii="宋体" w:hAnsi="宋体" w:cs="宋体"/>
          <w:sz w:val="24"/>
          <w:highlight w:val="none"/>
        </w:rPr>
        <w:t>），否则，不予认可。</w:t>
      </w:r>
    </w:p>
    <w:p w14:paraId="1457BD5C">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sz w:val="24"/>
          <w:highlight w:val="none"/>
        </w:rPr>
      </w:pPr>
      <w:r>
        <w:rPr>
          <w:rFonts w:hint="eastAsia" w:ascii="宋体" w:hAnsi="宋体" w:cs="宋体"/>
          <w:b/>
          <w:bCs/>
          <w:kern w:val="0"/>
          <w:sz w:val="24"/>
          <w:highlight w:val="none"/>
        </w:rPr>
        <w:t>6.监狱企业参加本项目</w:t>
      </w:r>
    </w:p>
    <w:p w14:paraId="6BE99E47">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投标无效。</w:t>
      </w:r>
    </w:p>
    <w:p w14:paraId="7749963B">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6.2</w:t>
      </w:r>
      <w:r>
        <w:rPr>
          <w:rFonts w:hint="eastAsia" w:ascii="宋体" w:hAnsi="宋体" w:cs="宋体"/>
          <w:sz w:val="24"/>
          <w:highlight w:val="none"/>
        </w:rPr>
        <w:t>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5CEB6DA4">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7.残疾人福利性单位参加本项目</w:t>
      </w:r>
    </w:p>
    <w:p w14:paraId="5EF36F0F">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7.1残疾人福利性单位视同小型、微型企业，如本项目是专门面向中小企业的采购项目，须提供《残疾人福利性单位声明函》（除评审专家可要求其澄清的内容外），且声明函须符合要求、完整、准确，否则，投标无效。</w:t>
      </w:r>
    </w:p>
    <w:p w14:paraId="663CA49C">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3AE03BC0">
      <w:pPr>
        <w:keepNext w:val="0"/>
        <w:keepLines w:val="0"/>
        <w:pageBreakBefore w:val="0"/>
        <w:widowControl w:val="0"/>
        <w:kinsoku/>
        <w:overflowPunct/>
        <w:topLinePunct/>
        <w:bidi w:val="0"/>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8.联合体企业参加本项目</w:t>
      </w:r>
    </w:p>
    <w:p w14:paraId="1ED73688">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8.1如本项目是专门面向中小企业且允许两个中小企业组成联合体参加的采购项目，须提供《联合体投标协议书》和其中报价产品为中小企业制造的《中小企业声明函》，协议书和声明函均需符合要求、完整、准确，否则，投标无效。</w:t>
      </w:r>
    </w:p>
    <w:p w14:paraId="622A40AC">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snapToGrid w:val="0"/>
          <w:kern w:val="0"/>
          <w:sz w:val="24"/>
          <w:highlight w:val="none"/>
        </w:rPr>
      </w:pPr>
      <w:r>
        <w:rPr>
          <w:rFonts w:hint="eastAsia" w:ascii="宋体" w:hAnsi="宋体" w:cs="宋体"/>
          <w:kern w:val="0"/>
          <w:sz w:val="24"/>
          <w:highlight w:val="none"/>
        </w:rPr>
        <w:t>8.2如本项目是非专门面向中小企业，</w:t>
      </w:r>
      <w:r>
        <w:rPr>
          <w:rFonts w:hint="eastAsia" w:ascii="宋体" w:hAnsi="宋体" w:cs="宋体"/>
          <w:snapToGrid w:val="0"/>
          <w:kern w:val="0"/>
          <w:sz w:val="24"/>
          <w:highlight w:val="none"/>
        </w:rPr>
        <w:t>接受大中型企业与小微企业组成联合体或者允许大中型企业向一家或者多家小微企业分包的采购项目，对于联合协议或者分包意向协议约定小微企业的合同份额占到合同总金额30%以上的，且提供了《联合体投标协议书》，协议书均需符合要求、完整、准确，否则，不予认可。</w:t>
      </w:r>
    </w:p>
    <w:p w14:paraId="1CB796A2">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sz w:val="24"/>
          <w:highlight w:val="none"/>
        </w:rPr>
        <w:t>9.创新产品参加的项目</w:t>
      </w:r>
    </w:p>
    <w:p w14:paraId="39C27E6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根据《政府采购支持创新产品和服务实施细则》（晋财购【2019】19号），需在投标文件中提供《山西省创新产品和服务推荐清单》产品截图，并填写《创新产品或创新服务明细表》，否则，不予认可。</w:t>
      </w:r>
    </w:p>
    <w:p w14:paraId="6987CC5E">
      <w:pPr>
        <w:pStyle w:val="34"/>
        <w:keepNext w:val="0"/>
        <w:keepLines w:val="0"/>
        <w:pageBreakBefore w:val="0"/>
        <w:widowControl w:val="0"/>
        <w:kinsoku/>
        <w:overflowPunct/>
        <w:bidi w:val="0"/>
        <w:snapToGrid w:val="0"/>
        <w:spacing w:line="360" w:lineRule="auto"/>
        <w:ind w:firstLine="482" w:firstLineChars="200"/>
        <w:jc w:val="left"/>
        <w:rPr>
          <w:rFonts w:cs="宋体"/>
          <w:b/>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五、</w:t>
      </w:r>
      <w:r>
        <w:rPr>
          <w:rFonts w:hint="eastAsia" w:cs="宋体"/>
          <w:b/>
          <w:color w:val="000000" w:themeColor="text1"/>
          <w:sz w:val="24"/>
          <w:szCs w:val="24"/>
          <w:highlight w:val="none"/>
          <w14:textFill>
            <w14:solidFill>
              <w14:schemeClr w14:val="tx1"/>
            </w14:solidFill>
          </w14:textFill>
        </w:rPr>
        <w:t>无效投标的情形</w:t>
      </w:r>
    </w:p>
    <w:p w14:paraId="10D3B82E">
      <w:pPr>
        <w:pStyle w:val="34"/>
        <w:keepNext w:val="0"/>
        <w:keepLines w:val="0"/>
        <w:pageBreakBefore w:val="0"/>
        <w:widowControl w:val="0"/>
        <w:kinsoku/>
        <w:overflowPunct/>
        <w:bidi w:val="0"/>
        <w:snapToGrid w:val="0"/>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未通过资格性、符合性审查的投标文件为无效投标。</w:t>
      </w:r>
    </w:p>
    <w:p w14:paraId="725CD825">
      <w:pPr>
        <w:keepNext w:val="0"/>
        <w:keepLines w:val="0"/>
        <w:pageBreakBefore w:val="0"/>
        <w:widowControl w:val="0"/>
        <w:kinsoku/>
        <w:overflowPunct/>
        <w:bidi w:val="0"/>
        <w:snapToGrid w:val="0"/>
        <w:spacing w:line="360" w:lineRule="auto"/>
        <w:ind w:firstLine="482"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w:t>
      </w:r>
      <w:r>
        <w:rPr>
          <w:rFonts w:hint="eastAsia" w:ascii="宋体" w:hAnsi="宋体" w:cs="宋体"/>
          <w:b/>
          <w:bCs/>
          <w:color w:val="000000" w:themeColor="text1"/>
          <w:kern w:val="0"/>
          <w:sz w:val="24"/>
          <w:highlight w:val="none"/>
          <w14:textFill>
            <w14:solidFill>
              <w14:schemeClr w14:val="tx1"/>
            </w14:solidFill>
          </w14:textFill>
        </w:rPr>
        <w:t>评分细则</w:t>
      </w:r>
    </w:p>
    <w:p w14:paraId="6FBE0DA4">
      <w:pPr>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本次评标采用综合评分法，投标文件满足招标文件全部实质性要求，且按照评分细则的量化指标进行评审（具体评分见综合评分法评分细则），得分最高的投标人为中标人或第一中标候选人。评分细则</w:t>
      </w:r>
      <w:r>
        <w:rPr>
          <w:rFonts w:hint="eastAsia" w:ascii="宋体" w:hAnsi="宋体" w:cs="宋体"/>
          <w:color w:val="000000" w:themeColor="text1"/>
          <w:kern w:val="0"/>
          <w:sz w:val="24"/>
          <w:highlight w:val="none"/>
          <w:lang w:val="en-US" w:eastAsia="zh-CN"/>
          <w14:textFill>
            <w14:solidFill>
              <w14:schemeClr w14:val="tx1"/>
            </w14:solidFill>
          </w14:textFill>
        </w:rPr>
        <w:t>如下：</w:t>
      </w:r>
    </w:p>
    <w:p w14:paraId="73AEF390">
      <w:pPr>
        <w:pStyle w:val="15"/>
        <w:spacing w:before="156" w:beforeLines="50" w:after="156" w:afterLines="50" w:line="360" w:lineRule="auto"/>
        <w:ind w:firstLine="0" w:firstLineChars="0"/>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第一部分：商务评分</w:t>
      </w:r>
    </w:p>
    <w:tbl>
      <w:tblPr>
        <w:tblStyle w:val="23"/>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42"/>
        <w:gridCol w:w="7118"/>
        <w:gridCol w:w="1120"/>
      </w:tblGrid>
      <w:tr w14:paraId="0142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77" w:type="dxa"/>
            <w:vAlign w:val="center"/>
          </w:tcPr>
          <w:p w14:paraId="01A494FF">
            <w:pPr>
              <w:autoSpaceDE w:val="0"/>
              <w:autoSpaceDN w:val="0"/>
              <w:adjustRightInd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序号</w:t>
            </w:r>
          </w:p>
        </w:tc>
        <w:tc>
          <w:tcPr>
            <w:tcW w:w="1242" w:type="dxa"/>
            <w:vAlign w:val="center"/>
          </w:tcPr>
          <w:p w14:paraId="1DB81CEA">
            <w:pPr>
              <w:autoSpaceDE w:val="0"/>
              <w:autoSpaceDN w:val="0"/>
              <w:adjustRightInd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评审因素</w:t>
            </w:r>
          </w:p>
        </w:tc>
        <w:tc>
          <w:tcPr>
            <w:tcW w:w="7118" w:type="dxa"/>
            <w:vAlign w:val="center"/>
          </w:tcPr>
          <w:p w14:paraId="354994C1">
            <w:pPr>
              <w:autoSpaceDE w:val="0"/>
              <w:autoSpaceDN w:val="0"/>
              <w:adjustRightInd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评分细则</w:t>
            </w:r>
          </w:p>
        </w:tc>
        <w:tc>
          <w:tcPr>
            <w:tcW w:w="1120" w:type="dxa"/>
            <w:vAlign w:val="center"/>
          </w:tcPr>
          <w:p w14:paraId="0D8FC15C">
            <w:pPr>
              <w:keepNext w:val="0"/>
              <w:keepLines w:val="0"/>
              <w:pageBreakBefore w:val="0"/>
              <w:widowControl w:val="0"/>
              <w:kinsoku/>
              <w:wordWrap/>
              <w:overflowPunct/>
              <w:topLinePunct w:val="0"/>
              <w:autoSpaceDE w:val="0"/>
              <w:autoSpaceDN w:val="0"/>
              <w:bidi w:val="0"/>
              <w:adjustRightInd w:val="0"/>
              <w:spacing w:line="360" w:lineRule="auto"/>
              <w:ind w:firstLine="0" w:firstLineChars="0"/>
              <w:jc w:val="center"/>
              <w:textAlignment w:val="auto"/>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分值</w:t>
            </w:r>
          </w:p>
          <w:p w14:paraId="5FFE2D74">
            <w:pPr>
              <w:keepNext w:val="0"/>
              <w:keepLines w:val="0"/>
              <w:pageBreakBefore w:val="0"/>
              <w:widowControl w:val="0"/>
              <w:kinsoku/>
              <w:wordWrap/>
              <w:overflowPunct/>
              <w:topLinePunct w:val="0"/>
              <w:autoSpaceDE w:val="0"/>
              <w:autoSpaceDN w:val="0"/>
              <w:bidi w:val="0"/>
              <w:adjustRightInd w:val="0"/>
              <w:spacing w:line="360" w:lineRule="auto"/>
              <w:ind w:firstLine="0" w:firstLineChars="0"/>
              <w:jc w:val="center"/>
              <w:textAlignment w:val="auto"/>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w:t>
            </w:r>
            <w:r>
              <w:rPr>
                <w:rFonts w:hint="eastAsia" w:asciiTheme="minorEastAsia" w:hAnsiTheme="minorEastAsia" w:eastAsiaTheme="minorEastAsia" w:cstheme="minorEastAsia"/>
                <w:b/>
                <w:bCs/>
                <w:color w:val="auto"/>
                <w:sz w:val="24"/>
                <w:szCs w:val="24"/>
                <w:highlight w:val="none"/>
                <w:lang w:val="en-US" w:eastAsia="zh-CN"/>
              </w:rPr>
              <w:t>20</w:t>
            </w:r>
            <w:r>
              <w:rPr>
                <w:rFonts w:hint="eastAsia" w:asciiTheme="minorEastAsia" w:hAnsiTheme="minorEastAsia" w:eastAsiaTheme="minorEastAsia" w:cstheme="minorEastAsia"/>
                <w:b/>
                <w:bCs/>
                <w:color w:val="auto"/>
                <w:sz w:val="24"/>
                <w:szCs w:val="24"/>
                <w:highlight w:val="none"/>
              </w:rPr>
              <w:t>分</w:t>
            </w:r>
            <w:r>
              <w:rPr>
                <w:rFonts w:hint="eastAsia" w:asciiTheme="minorEastAsia" w:hAnsiTheme="minorEastAsia" w:eastAsiaTheme="minorEastAsia" w:cstheme="minorEastAsia"/>
                <w:b/>
                <w:bCs/>
                <w:color w:val="auto"/>
                <w:sz w:val="24"/>
                <w:szCs w:val="24"/>
                <w:highlight w:val="none"/>
                <w:lang w:val="zh-CN"/>
              </w:rPr>
              <w:t>）</w:t>
            </w:r>
          </w:p>
        </w:tc>
      </w:tr>
      <w:tr w14:paraId="1F99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777" w:type="dxa"/>
            <w:vAlign w:val="center"/>
          </w:tcPr>
          <w:p w14:paraId="544DA2B6">
            <w:pPr>
              <w:pStyle w:val="15"/>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42" w:type="dxa"/>
            <w:vAlign w:val="center"/>
          </w:tcPr>
          <w:p w14:paraId="4DAEA561">
            <w:pPr>
              <w:pStyle w:val="15"/>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同类案例（</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7118" w:type="dxa"/>
            <w:vAlign w:val="center"/>
          </w:tcPr>
          <w:p w14:paraId="6DBD175B">
            <w:pPr>
              <w:pStyle w:val="15"/>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供应商（不包含其子公司或所属集团内其他公司）自202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月至今（以合同签订时间为准）具有同类</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包含医保数据服务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项目业绩，每提供1个合作案例得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分，满分</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259DAD99">
            <w:pPr>
              <w:pStyle w:val="15"/>
              <w:spacing w:line="360" w:lineRule="auto"/>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评审依据：</w:t>
            </w:r>
            <w:r>
              <w:rPr>
                <w:rFonts w:hint="eastAsia" w:asciiTheme="minorEastAsia" w:hAnsiTheme="minorEastAsia" w:eastAsiaTheme="minorEastAsia" w:cstheme="minorEastAsia"/>
                <w:color w:val="auto"/>
                <w:sz w:val="24"/>
                <w:szCs w:val="24"/>
                <w:highlight w:val="none"/>
              </w:rPr>
              <w:t>须提供本法人合同相关内容（</w:t>
            </w:r>
            <w:r>
              <w:rPr>
                <w:rFonts w:hint="eastAsia" w:asciiTheme="minorEastAsia" w:hAnsiTheme="minorEastAsia" w:eastAsiaTheme="minorEastAsia" w:cstheme="minorEastAsia"/>
                <w:color w:val="auto"/>
                <w:sz w:val="24"/>
                <w:szCs w:val="24"/>
                <w:highlight w:val="none"/>
                <w:lang w:val="en-US" w:eastAsia="zh-CN"/>
              </w:rPr>
              <w:t>至少提供：</w:t>
            </w:r>
            <w:r>
              <w:rPr>
                <w:rFonts w:hint="eastAsia" w:asciiTheme="minorEastAsia" w:hAnsiTheme="minorEastAsia" w:eastAsiaTheme="minorEastAsia" w:cstheme="minorEastAsia"/>
                <w:color w:val="auto"/>
                <w:sz w:val="24"/>
                <w:szCs w:val="24"/>
                <w:highlight w:val="none"/>
              </w:rPr>
              <w:t>合同首页、内容页、金额页、</w:t>
            </w:r>
            <w:r>
              <w:rPr>
                <w:rFonts w:hint="eastAsia" w:asciiTheme="minorEastAsia" w:hAnsiTheme="minorEastAsia" w:eastAsiaTheme="minorEastAsia" w:cstheme="minorEastAsia"/>
                <w:color w:val="auto"/>
                <w:sz w:val="24"/>
                <w:szCs w:val="24"/>
                <w:highlight w:val="none"/>
                <w:lang w:val="en-US" w:eastAsia="zh-CN"/>
              </w:rPr>
              <w:t>签订时间页、</w:t>
            </w:r>
            <w:r>
              <w:rPr>
                <w:rFonts w:hint="eastAsia" w:asciiTheme="minorEastAsia" w:hAnsiTheme="minorEastAsia" w:eastAsiaTheme="minorEastAsia" w:cstheme="minorEastAsia"/>
                <w:color w:val="auto"/>
                <w:sz w:val="24"/>
                <w:szCs w:val="24"/>
                <w:highlight w:val="none"/>
              </w:rPr>
              <w:t>盖章页）的扫描件或复印件并加盖供应商公章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否则不得分</w:t>
            </w:r>
            <w:r>
              <w:rPr>
                <w:rFonts w:hint="eastAsia" w:asciiTheme="minorEastAsia" w:hAnsiTheme="minorEastAsia" w:eastAsiaTheme="minorEastAsia" w:cstheme="minorEastAsia"/>
                <w:color w:val="auto"/>
                <w:sz w:val="24"/>
                <w:szCs w:val="24"/>
                <w:highlight w:val="none"/>
              </w:rPr>
              <w:t>。</w:t>
            </w:r>
          </w:p>
        </w:tc>
        <w:tc>
          <w:tcPr>
            <w:tcW w:w="1120" w:type="dxa"/>
            <w:vAlign w:val="center"/>
          </w:tcPr>
          <w:p w14:paraId="11A08B2A">
            <w:pPr>
              <w:pStyle w:val="15"/>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r>
      <w:tr w14:paraId="2380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Align w:val="center"/>
          </w:tcPr>
          <w:p w14:paraId="5063ACCF">
            <w:pPr>
              <w:pStyle w:val="15"/>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42" w:type="dxa"/>
            <w:vAlign w:val="center"/>
          </w:tcPr>
          <w:p w14:paraId="57467122">
            <w:pPr>
              <w:pStyle w:val="15"/>
              <w:spacing w:line="360" w:lineRule="auto"/>
              <w:ind w:firstLine="0" w:firstLineChars="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z w:val="24"/>
                <w:szCs w:val="24"/>
                <w:highlight w:val="none"/>
              </w:rPr>
              <w:t>企业信誉（</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tc>
        <w:tc>
          <w:tcPr>
            <w:tcW w:w="7118" w:type="dxa"/>
            <w:vAlign w:val="center"/>
          </w:tcPr>
          <w:p w14:paraId="67BEBF54">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、供应商</w:t>
            </w:r>
            <w:r>
              <w:rPr>
                <w:rFonts w:hint="eastAsia" w:asciiTheme="minorEastAsia" w:hAnsiTheme="minorEastAsia" w:eastAsiaTheme="minorEastAsia" w:cstheme="minorEastAsia"/>
                <w:b w:val="0"/>
                <w:bCs w:val="0"/>
                <w:color w:val="auto"/>
                <w:sz w:val="24"/>
                <w:szCs w:val="24"/>
                <w:highlight w:val="none"/>
                <w:lang w:val="en-US" w:eastAsia="zh-CN"/>
              </w:rPr>
              <w:t>具有有效的</w:t>
            </w:r>
            <w:r>
              <w:rPr>
                <w:rFonts w:hint="eastAsia" w:asciiTheme="minorEastAsia" w:hAnsiTheme="minorEastAsia" w:eastAsiaTheme="minorEastAsia" w:cstheme="minorEastAsia"/>
                <w:b w:val="0"/>
                <w:bCs w:val="0"/>
                <w:color w:val="auto"/>
                <w:sz w:val="24"/>
                <w:szCs w:val="24"/>
                <w:highlight w:val="none"/>
              </w:rPr>
              <w:t>信息安全管理体系认证证书，得1分；</w:t>
            </w:r>
          </w:p>
          <w:p w14:paraId="5CE0C700">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、供应商</w:t>
            </w:r>
            <w:r>
              <w:rPr>
                <w:rFonts w:hint="eastAsia" w:asciiTheme="minorEastAsia" w:hAnsiTheme="minorEastAsia" w:eastAsiaTheme="minorEastAsia" w:cstheme="minorEastAsia"/>
                <w:b w:val="0"/>
                <w:bCs w:val="0"/>
                <w:color w:val="auto"/>
                <w:sz w:val="24"/>
                <w:szCs w:val="24"/>
                <w:highlight w:val="none"/>
                <w:lang w:val="en-US" w:eastAsia="zh-CN"/>
              </w:rPr>
              <w:t>具有有效的</w:t>
            </w:r>
            <w:r>
              <w:rPr>
                <w:rFonts w:hint="eastAsia" w:asciiTheme="minorEastAsia" w:hAnsiTheme="minorEastAsia" w:eastAsiaTheme="minorEastAsia" w:cstheme="minorEastAsia"/>
                <w:b w:val="0"/>
                <w:bCs w:val="0"/>
                <w:color w:val="auto"/>
                <w:sz w:val="24"/>
                <w:szCs w:val="24"/>
                <w:highlight w:val="none"/>
              </w:rPr>
              <w:t>质量管理体系认证证书，得1分</w:t>
            </w:r>
            <w:r>
              <w:rPr>
                <w:rFonts w:hint="eastAsia" w:asciiTheme="minorEastAsia" w:hAnsiTheme="minorEastAsia" w:eastAsiaTheme="minorEastAsia" w:cstheme="minorEastAsia"/>
                <w:b w:val="0"/>
                <w:bCs w:val="0"/>
                <w:color w:val="auto"/>
                <w:sz w:val="24"/>
                <w:szCs w:val="24"/>
                <w:highlight w:val="none"/>
                <w:lang w:eastAsia="zh-CN"/>
              </w:rPr>
              <w:t>。</w:t>
            </w:r>
          </w:p>
          <w:p w14:paraId="07A2F65E">
            <w:pPr>
              <w:pStyle w:val="15"/>
              <w:spacing w:line="360" w:lineRule="auto"/>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评审依据：须提供相关证书的扫描件或复印件加盖供应商公章。</w:t>
            </w:r>
          </w:p>
        </w:tc>
        <w:tc>
          <w:tcPr>
            <w:tcW w:w="1120" w:type="dxa"/>
            <w:vAlign w:val="center"/>
          </w:tcPr>
          <w:p w14:paraId="46F4C96E">
            <w:pPr>
              <w:pStyle w:val="15"/>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p>
        </w:tc>
      </w:tr>
      <w:tr w14:paraId="4BC9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7" w:type="dxa"/>
            <w:vAlign w:val="center"/>
          </w:tcPr>
          <w:p w14:paraId="7FB5E996">
            <w:pPr>
              <w:pStyle w:val="15"/>
              <w:spacing w:line="360" w:lineRule="auto"/>
              <w:ind w:firstLine="0" w:firstLine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242" w:type="dxa"/>
            <w:vAlign w:val="center"/>
          </w:tcPr>
          <w:p w14:paraId="1DEEB7B8">
            <w:pPr>
              <w:pStyle w:val="15"/>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服务团队（</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7118" w:type="dxa"/>
            <w:vAlign w:val="center"/>
          </w:tcPr>
          <w:p w14:paraId="0ABC4BEE">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1、项目负责人</w:t>
            </w:r>
          </w:p>
          <w:p w14:paraId="53B29B8B">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提供项目负责人姓名、电话、地址、职责分工，并提供在本单位</w:t>
            </w:r>
            <w:r>
              <w:rPr>
                <w:rFonts w:hint="eastAsia" w:asciiTheme="minorEastAsia" w:hAnsiTheme="minorEastAsia" w:eastAsiaTheme="minorEastAsia" w:cstheme="minorEastAsia"/>
                <w:b w:val="0"/>
                <w:bCs w:val="0"/>
                <w:color w:val="auto"/>
                <w:sz w:val="24"/>
                <w:szCs w:val="24"/>
                <w:highlight w:val="none"/>
                <w:lang w:val="en-US" w:eastAsia="zh-CN"/>
              </w:rPr>
              <w:t>近半年内任意一次</w:t>
            </w:r>
            <w:r>
              <w:rPr>
                <w:rFonts w:hint="eastAsia" w:asciiTheme="minorEastAsia" w:hAnsiTheme="minorEastAsia" w:eastAsiaTheme="minorEastAsia" w:cstheme="minorEastAsia"/>
                <w:b w:val="0"/>
                <w:bCs w:val="0"/>
                <w:color w:val="auto"/>
                <w:sz w:val="24"/>
                <w:szCs w:val="24"/>
                <w:highlight w:val="none"/>
              </w:rPr>
              <w:t>社保缴纳证明材料。提供完整的得</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分，提供不全的或未提供的不得分。</w:t>
            </w:r>
          </w:p>
          <w:p w14:paraId="3CF8E582">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项目团队</w:t>
            </w:r>
          </w:p>
          <w:p w14:paraId="470EBEDB">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根据项目团队的组成结构，包括但不限于专业服务人员及其他服务人员的①信息（包括姓名、电话</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学历</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工作</w:t>
            </w:r>
            <w:r>
              <w:rPr>
                <w:rFonts w:hint="eastAsia" w:asciiTheme="minorEastAsia" w:hAnsiTheme="minorEastAsia" w:eastAsiaTheme="minorEastAsia" w:cstheme="minorEastAsia"/>
                <w:b w:val="0"/>
                <w:bCs w:val="0"/>
                <w:color w:val="auto"/>
                <w:sz w:val="24"/>
                <w:szCs w:val="24"/>
                <w:highlight w:val="none"/>
              </w:rPr>
              <w:t>地址）、②岗位设置、③专业结构、④职责分工的完整、可行、有针对性为评审要点，</w:t>
            </w:r>
            <w:r>
              <w:rPr>
                <w:rFonts w:hint="eastAsia" w:asciiTheme="minorEastAsia" w:hAnsiTheme="minorEastAsia" w:eastAsiaTheme="minorEastAsia" w:cstheme="minorEastAsia"/>
                <w:b w:val="0"/>
                <w:bCs w:val="0"/>
                <w:color w:val="auto"/>
                <w:sz w:val="24"/>
                <w:szCs w:val="24"/>
                <w:highlight w:val="none"/>
                <w:lang w:val="en-US" w:eastAsia="zh-CN"/>
              </w:rPr>
              <w:t>满分4分，</w:t>
            </w:r>
            <w:r>
              <w:rPr>
                <w:rFonts w:hint="eastAsia" w:asciiTheme="minorEastAsia" w:hAnsiTheme="minorEastAsia" w:eastAsiaTheme="minorEastAsia" w:cstheme="minorEastAsia"/>
                <w:b w:val="0"/>
                <w:bCs w:val="0"/>
                <w:color w:val="auto"/>
                <w:sz w:val="24"/>
                <w:szCs w:val="24"/>
                <w:highlight w:val="none"/>
              </w:rPr>
              <w:t>以上内容每有一项缺失对应项内容的扣1分，每项内容中有一处内容有缺陷或不合理的扣0.5分，扣完为止。</w:t>
            </w:r>
          </w:p>
          <w:p w14:paraId="4CFAEB8F">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内容有缺陷或不合理包括但不限于：</w:t>
            </w:r>
          </w:p>
          <w:p w14:paraId="3C07C3B4">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1）方案内容与项目需求不一致或没有关联性；</w:t>
            </w:r>
          </w:p>
          <w:p w14:paraId="58BC9559">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2）方案内容与实际实施存在差异或无法达到预期；</w:t>
            </w:r>
          </w:p>
          <w:p w14:paraId="01450BC3">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3）方案内容条理不清晰或内容不充实；</w:t>
            </w:r>
          </w:p>
          <w:p w14:paraId="67611735">
            <w:pPr>
              <w:pStyle w:val="15"/>
              <w:spacing w:line="360" w:lineRule="auto"/>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4）方案内容语义表述不清，前后矛盾，存在歧义、混乱。</w:t>
            </w:r>
          </w:p>
        </w:tc>
        <w:tc>
          <w:tcPr>
            <w:tcW w:w="1120" w:type="dxa"/>
            <w:vAlign w:val="center"/>
          </w:tcPr>
          <w:p w14:paraId="245C3266">
            <w:pPr>
              <w:pStyle w:val="15"/>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r>
      <w:tr w14:paraId="7913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7" w:type="dxa"/>
            <w:vAlign w:val="center"/>
          </w:tcPr>
          <w:p w14:paraId="2CE1F27B">
            <w:pPr>
              <w:pStyle w:val="15"/>
              <w:spacing w:line="360" w:lineRule="auto"/>
              <w:ind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242" w:type="dxa"/>
            <w:vAlign w:val="center"/>
          </w:tcPr>
          <w:p w14:paraId="5669F2DA">
            <w:pPr>
              <w:pStyle w:val="15"/>
              <w:spacing w:line="360" w:lineRule="auto"/>
              <w:ind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服务网点（2分）</w:t>
            </w:r>
          </w:p>
        </w:tc>
        <w:tc>
          <w:tcPr>
            <w:tcW w:w="7118" w:type="dxa"/>
            <w:vAlign w:val="center"/>
          </w:tcPr>
          <w:p w14:paraId="67013ACB">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根据供应商提供的服务机构详情，包括但不限于①服务网点明细、②地址、③</w:t>
            </w:r>
            <w:r>
              <w:rPr>
                <w:rFonts w:hint="eastAsia" w:asciiTheme="minorEastAsia" w:hAnsiTheme="minorEastAsia" w:eastAsiaTheme="minorEastAsia" w:cstheme="minorEastAsia"/>
                <w:b w:val="0"/>
                <w:bCs w:val="0"/>
                <w:color w:val="auto"/>
                <w:sz w:val="24"/>
                <w:szCs w:val="24"/>
                <w:highlight w:val="none"/>
                <w:lang w:val="en-US" w:eastAsia="zh-CN"/>
              </w:rPr>
              <w:t>联系人</w:t>
            </w:r>
            <w:r>
              <w:rPr>
                <w:rFonts w:hint="eastAsia" w:asciiTheme="minorEastAsia" w:hAnsiTheme="minorEastAsia" w:eastAsiaTheme="minorEastAsia" w:cstheme="minorEastAsia"/>
                <w:b w:val="0"/>
                <w:bCs w:val="0"/>
                <w:color w:val="auto"/>
                <w:sz w:val="24"/>
                <w:szCs w:val="24"/>
                <w:highlight w:val="none"/>
              </w:rPr>
              <w:t>姓名、④联系电话等，有且准确</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完整</w:t>
            </w:r>
            <w:r>
              <w:rPr>
                <w:rFonts w:hint="eastAsia" w:asciiTheme="minorEastAsia" w:hAnsiTheme="minorEastAsia" w:eastAsiaTheme="minorEastAsia" w:cstheme="minorEastAsia"/>
                <w:b w:val="0"/>
                <w:bCs w:val="0"/>
                <w:color w:val="auto"/>
                <w:sz w:val="24"/>
                <w:szCs w:val="24"/>
                <w:highlight w:val="none"/>
              </w:rPr>
              <w:t>提供相关信息的得2分，每缺少一项内容扣0.5分，扣完为止，未提供的不得分。</w:t>
            </w:r>
          </w:p>
        </w:tc>
        <w:tc>
          <w:tcPr>
            <w:tcW w:w="1120" w:type="dxa"/>
            <w:vAlign w:val="center"/>
          </w:tcPr>
          <w:p w14:paraId="738F4AB8">
            <w:pPr>
              <w:pStyle w:val="15"/>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2分</w:t>
            </w:r>
          </w:p>
        </w:tc>
      </w:tr>
      <w:tr w14:paraId="5880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7" w:type="dxa"/>
            <w:vAlign w:val="center"/>
          </w:tcPr>
          <w:p w14:paraId="252B04EA">
            <w:pPr>
              <w:pStyle w:val="15"/>
              <w:spacing w:line="360" w:lineRule="auto"/>
              <w:ind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242" w:type="dxa"/>
            <w:vAlign w:val="center"/>
          </w:tcPr>
          <w:p w14:paraId="23A52410">
            <w:pPr>
              <w:pStyle w:val="15"/>
              <w:spacing w:line="360" w:lineRule="auto"/>
              <w:ind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服务承诺（4分）</w:t>
            </w:r>
          </w:p>
        </w:tc>
        <w:tc>
          <w:tcPr>
            <w:tcW w:w="7118" w:type="dxa"/>
            <w:vAlign w:val="center"/>
          </w:tcPr>
          <w:p w14:paraId="51B5CF9E">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（1）承诺在服务期限内服务人员要保障采购人正常工作秩序，遵守太原市医疗保障局相关规定，接受采购人监督、管理的得1</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分，未承诺的不得分。</w:t>
            </w:r>
          </w:p>
          <w:p w14:paraId="0C01C3CA">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（2）承诺在服务期限内因人员服务质量问题，应采购人要求，</w:t>
            </w:r>
            <w:r>
              <w:rPr>
                <w:rFonts w:hint="eastAsia" w:asciiTheme="minorEastAsia" w:hAnsiTheme="minorEastAsia" w:eastAsiaTheme="minorEastAsia" w:cstheme="minorEastAsia"/>
                <w:b w:val="0"/>
                <w:bCs w:val="0"/>
                <w:color w:val="auto"/>
                <w:sz w:val="24"/>
                <w:szCs w:val="24"/>
                <w:highlight w:val="none"/>
                <w:lang w:val="en-US" w:eastAsia="zh-CN"/>
              </w:rPr>
              <w:t>中标人</w:t>
            </w:r>
            <w:r>
              <w:rPr>
                <w:rFonts w:hint="eastAsia" w:asciiTheme="minorEastAsia" w:hAnsiTheme="minorEastAsia" w:eastAsiaTheme="minorEastAsia" w:cstheme="minorEastAsia"/>
                <w:b w:val="0"/>
                <w:bCs w:val="0"/>
                <w:color w:val="auto"/>
                <w:sz w:val="24"/>
                <w:szCs w:val="24"/>
                <w:highlight w:val="none"/>
              </w:rPr>
              <w:t>负责及时更换符合项目专业要求人员的得1</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分，未承诺的不得分。</w:t>
            </w:r>
          </w:p>
          <w:p w14:paraId="1A8488D8">
            <w:pPr>
              <w:pStyle w:val="15"/>
              <w:spacing w:line="360" w:lineRule="auto"/>
              <w:ind w:firstLine="48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（3）承诺服务期内服务人员在工作中发生工伤，由</w:t>
            </w:r>
            <w:r>
              <w:rPr>
                <w:rFonts w:hint="eastAsia" w:asciiTheme="minorEastAsia" w:hAnsiTheme="minorEastAsia" w:eastAsiaTheme="minorEastAsia" w:cstheme="minorEastAsia"/>
                <w:b w:val="0"/>
                <w:bCs w:val="0"/>
                <w:color w:val="auto"/>
                <w:sz w:val="24"/>
                <w:szCs w:val="24"/>
                <w:highlight w:val="none"/>
                <w:lang w:val="en-US" w:eastAsia="zh-CN"/>
              </w:rPr>
              <w:t>中标人</w:t>
            </w:r>
            <w:r>
              <w:rPr>
                <w:rFonts w:hint="eastAsia" w:asciiTheme="minorEastAsia" w:hAnsiTheme="minorEastAsia" w:eastAsiaTheme="minorEastAsia" w:cstheme="minorEastAsia"/>
                <w:b w:val="0"/>
                <w:bCs w:val="0"/>
                <w:color w:val="auto"/>
                <w:sz w:val="24"/>
                <w:szCs w:val="24"/>
                <w:highlight w:val="none"/>
              </w:rPr>
              <w:t>全权解决并承担相应责任的得1分，未承诺的不得分。</w:t>
            </w:r>
          </w:p>
        </w:tc>
        <w:tc>
          <w:tcPr>
            <w:tcW w:w="1120" w:type="dxa"/>
            <w:vAlign w:val="center"/>
          </w:tcPr>
          <w:p w14:paraId="2BF18394">
            <w:pPr>
              <w:pStyle w:val="15"/>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4分</w:t>
            </w:r>
          </w:p>
        </w:tc>
      </w:tr>
    </w:tbl>
    <w:p w14:paraId="2CBFDFAC">
      <w:pPr>
        <w:pStyle w:val="15"/>
        <w:spacing w:line="360" w:lineRule="auto"/>
        <w:ind w:firstLine="562"/>
        <w:outlineLvl w:val="9"/>
        <w:rPr>
          <w:rFonts w:hint="eastAsia" w:asciiTheme="minorEastAsia" w:hAnsiTheme="minorEastAsia" w:eastAsiaTheme="minorEastAsia" w:cstheme="minorEastAsia"/>
          <w:b/>
          <w:color w:val="auto"/>
          <w:sz w:val="24"/>
          <w:szCs w:val="24"/>
          <w:highlight w:val="none"/>
        </w:rPr>
      </w:pPr>
    </w:p>
    <w:p w14:paraId="1D9A0261">
      <w:pPr>
        <w:pStyle w:val="15"/>
        <w:spacing w:line="360" w:lineRule="auto"/>
        <w:ind w:firstLine="562"/>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第二部分：技术评分</w:t>
      </w:r>
    </w:p>
    <w:tbl>
      <w:tblPr>
        <w:tblStyle w:val="23"/>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86"/>
        <w:gridCol w:w="1011"/>
        <w:gridCol w:w="6344"/>
        <w:gridCol w:w="1100"/>
      </w:tblGrid>
      <w:tr w14:paraId="0958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5" w:type="dxa"/>
            <w:vAlign w:val="center"/>
          </w:tcPr>
          <w:p w14:paraId="1F93547E">
            <w:pPr>
              <w:autoSpaceDE w:val="0"/>
              <w:autoSpaceDN w:val="0"/>
              <w:adjustRightInd w:val="0"/>
              <w:spacing w:line="360" w:lineRule="auto"/>
              <w:ind w:firstLine="0" w:firstLineChars="0"/>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序号</w:t>
            </w:r>
          </w:p>
        </w:tc>
        <w:tc>
          <w:tcPr>
            <w:tcW w:w="1186" w:type="dxa"/>
            <w:vAlign w:val="center"/>
          </w:tcPr>
          <w:p w14:paraId="107F1D4D">
            <w:pPr>
              <w:autoSpaceDE w:val="0"/>
              <w:autoSpaceDN w:val="0"/>
              <w:adjustRightInd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评审因素</w:t>
            </w:r>
          </w:p>
        </w:tc>
        <w:tc>
          <w:tcPr>
            <w:tcW w:w="7355" w:type="dxa"/>
            <w:gridSpan w:val="2"/>
            <w:vAlign w:val="center"/>
          </w:tcPr>
          <w:p w14:paraId="19ABCB25">
            <w:pPr>
              <w:autoSpaceDE w:val="0"/>
              <w:autoSpaceDN w:val="0"/>
              <w:adjustRightInd w:val="0"/>
              <w:spacing w:line="360" w:lineRule="auto"/>
              <w:ind w:firstLine="482"/>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评分细则</w:t>
            </w:r>
          </w:p>
        </w:tc>
        <w:tc>
          <w:tcPr>
            <w:tcW w:w="1100" w:type="dxa"/>
            <w:vAlign w:val="center"/>
          </w:tcPr>
          <w:p w14:paraId="6F784A52">
            <w:pPr>
              <w:keepNext w:val="0"/>
              <w:keepLines w:val="0"/>
              <w:pageBreakBefore w:val="0"/>
              <w:widowControl w:val="0"/>
              <w:kinsoku/>
              <w:wordWrap/>
              <w:overflowPunct/>
              <w:topLinePunct w:val="0"/>
              <w:autoSpaceDE w:val="0"/>
              <w:autoSpaceDN w:val="0"/>
              <w:bidi w:val="0"/>
              <w:adjustRightInd w:val="0"/>
              <w:spacing w:line="360" w:lineRule="auto"/>
              <w:ind w:firstLine="0" w:firstLineChars="0"/>
              <w:jc w:val="center"/>
              <w:textAlignment w:val="auto"/>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分值</w:t>
            </w:r>
          </w:p>
          <w:p w14:paraId="028A8060">
            <w:pPr>
              <w:keepNext w:val="0"/>
              <w:keepLines w:val="0"/>
              <w:pageBreakBefore w:val="0"/>
              <w:widowControl w:val="0"/>
              <w:kinsoku/>
              <w:wordWrap/>
              <w:overflowPunct/>
              <w:topLinePunct w:val="0"/>
              <w:autoSpaceDE w:val="0"/>
              <w:autoSpaceDN w:val="0"/>
              <w:bidi w:val="0"/>
              <w:adjustRightInd w:val="0"/>
              <w:spacing w:line="360" w:lineRule="auto"/>
              <w:ind w:firstLine="0" w:firstLineChars="0"/>
              <w:jc w:val="center"/>
              <w:textAlignment w:val="auto"/>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w:t>
            </w:r>
            <w:r>
              <w:rPr>
                <w:rFonts w:hint="eastAsia" w:asciiTheme="minorEastAsia" w:hAnsiTheme="minorEastAsia" w:eastAsiaTheme="minorEastAsia" w:cstheme="minorEastAsia"/>
                <w:b/>
                <w:bCs/>
                <w:color w:val="auto"/>
                <w:sz w:val="24"/>
                <w:szCs w:val="24"/>
                <w:highlight w:val="none"/>
                <w:lang w:val="en-US" w:eastAsia="zh-CN"/>
              </w:rPr>
              <w:t>70</w:t>
            </w:r>
            <w:r>
              <w:rPr>
                <w:rFonts w:hint="eastAsia" w:asciiTheme="minorEastAsia" w:hAnsiTheme="minorEastAsia" w:eastAsiaTheme="minorEastAsia" w:cstheme="minorEastAsia"/>
                <w:b/>
                <w:bCs/>
                <w:color w:val="auto"/>
                <w:sz w:val="24"/>
                <w:szCs w:val="24"/>
                <w:highlight w:val="none"/>
              </w:rPr>
              <w:t>分</w:t>
            </w:r>
            <w:r>
              <w:rPr>
                <w:rFonts w:hint="eastAsia" w:asciiTheme="minorEastAsia" w:hAnsiTheme="minorEastAsia" w:eastAsiaTheme="minorEastAsia" w:cstheme="minorEastAsia"/>
                <w:b/>
                <w:bCs/>
                <w:color w:val="auto"/>
                <w:sz w:val="24"/>
                <w:szCs w:val="24"/>
                <w:highlight w:val="none"/>
                <w:lang w:val="zh-CN"/>
              </w:rPr>
              <w:t>）</w:t>
            </w:r>
          </w:p>
        </w:tc>
      </w:tr>
      <w:tr w14:paraId="3D4E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75" w:type="dxa"/>
            <w:vAlign w:val="center"/>
          </w:tcPr>
          <w:p w14:paraId="22F198B7">
            <w:pPr>
              <w:pStyle w:val="15"/>
              <w:snapToGrid/>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86" w:type="dxa"/>
            <w:vAlign w:val="center"/>
          </w:tcPr>
          <w:p w14:paraId="755913C6">
            <w:pPr>
              <w:pStyle w:val="15"/>
              <w:snapToGrid/>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总体方案设计</w:t>
            </w:r>
          </w:p>
        </w:tc>
        <w:tc>
          <w:tcPr>
            <w:tcW w:w="7355" w:type="dxa"/>
            <w:gridSpan w:val="2"/>
            <w:vAlign w:val="center"/>
          </w:tcPr>
          <w:p w14:paraId="08CEB25D">
            <w:pPr>
              <w:pStyle w:val="15"/>
              <w:snapToGrid/>
              <w:spacing w:line="360" w:lineRule="auto"/>
              <w:ind w:firstLine="482"/>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评分内容：</w:t>
            </w:r>
          </w:p>
          <w:p w14:paraId="5DF0CA09">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根据供应商提供的总体方案设计进行评定，总体方案设计</w:t>
            </w:r>
            <w:r>
              <w:rPr>
                <w:rFonts w:hint="eastAsia" w:asciiTheme="minorEastAsia" w:hAnsiTheme="minorEastAsia" w:eastAsiaTheme="minorEastAsia" w:cstheme="minorEastAsia"/>
                <w:color w:val="auto"/>
                <w:sz w:val="24"/>
                <w:szCs w:val="24"/>
                <w:highlight w:val="none"/>
                <w:lang w:val="en-US" w:eastAsia="zh-CN"/>
              </w:rPr>
              <w:t>至少</w:t>
            </w:r>
            <w:r>
              <w:rPr>
                <w:rFonts w:hint="eastAsia" w:asciiTheme="minorEastAsia" w:hAnsiTheme="minorEastAsia" w:eastAsiaTheme="minorEastAsia" w:cstheme="minorEastAsia"/>
                <w:color w:val="auto"/>
                <w:sz w:val="24"/>
                <w:szCs w:val="24"/>
                <w:highlight w:val="none"/>
              </w:rPr>
              <w:t>包括：</w:t>
            </w:r>
          </w:p>
          <w:p w14:paraId="3A31311A">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①总体目标；</w:t>
            </w:r>
          </w:p>
          <w:p w14:paraId="6EB4EAE7">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②现状分析；</w:t>
            </w:r>
          </w:p>
          <w:p w14:paraId="46799E51">
            <w:pPr>
              <w:spacing w:line="360" w:lineRule="auto"/>
              <w:ind w:firstLine="48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③方案设计</w:t>
            </w:r>
            <w:r>
              <w:rPr>
                <w:rFonts w:hint="eastAsia" w:asciiTheme="minorEastAsia" w:hAnsiTheme="minorEastAsia" w:eastAsiaTheme="minorEastAsia" w:cstheme="minorEastAsia"/>
                <w:color w:val="auto"/>
                <w:sz w:val="24"/>
                <w:szCs w:val="24"/>
                <w:highlight w:val="none"/>
                <w:lang w:eastAsia="zh-CN"/>
              </w:rPr>
              <w:t>。</w:t>
            </w:r>
          </w:p>
          <w:p w14:paraId="59DCFF92">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以上内容每有一项缺失对应项内容的扣</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分，每项内容中有一处内容有缺陷的扣0.5分，扣完为止。</w:t>
            </w:r>
          </w:p>
          <w:p w14:paraId="7A28E4EF">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内容有缺陷包括但不限于：</w:t>
            </w:r>
          </w:p>
          <w:p w14:paraId="28F50622">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1）方案内容与项目需求基本不一致；</w:t>
            </w:r>
          </w:p>
          <w:p w14:paraId="7977DE51">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2）方案内容与实际实施存在差异；</w:t>
            </w:r>
          </w:p>
          <w:p w14:paraId="260A9E60">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3）方案内容条理基本不清晰或内容不充实；</w:t>
            </w:r>
          </w:p>
          <w:p w14:paraId="065FE214">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4）方案内容语义表述不清，前后矛盾，混乱。</w:t>
            </w:r>
          </w:p>
        </w:tc>
        <w:tc>
          <w:tcPr>
            <w:tcW w:w="1100" w:type="dxa"/>
            <w:vAlign w:val="center"/>
          </w:tcPr>
          <w:p w14:paraId="33E193C8">
            <w:pPr>
              <w:pStyle w:val="15"/>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r>
      <w:tr w14:paraId="7313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775" w:type="dxa"/>
            <w:vAlign w:val="center"/>
          </w:tcPr>
          <w:p w14:paraId="2C1FB243">
            <w:pPr>
              <w:pStyle w:val="15"/>
              <w:snapToGrid/>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186" w:type="dxa"/>
            <w:vAlign w:val="center"/>
          </w:tcPr>
          <w:p w14:paraId="488317E5">
            <w:pPr>
              <w:pStyle w:val="15"/>
              <w:snapToGrid/>
              <w:spacing w:line="360" w:lineRule="auto"/>
              <w:ind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项目实施方案</w:t>
            </w:r>
          </w:p>
        </w:tc>
        <w:tc>
          <w:tcPr>
            <w:tcW w:w="7355" w:type="dxa"/>
            <w:gridSpan w:val="2"/>
            <w:vAlign w:val="center"/>
          </w:tcPr>
          <w:p w14:paraId="1BBD3656">
            <w:pPr>
              <w:pStyle w:val="15"/>
              <w:snapToGrid/>
              <w:spacing w:line="360" w:lineRule="auto"/>
              <w:ind w:firstLine="482"/>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评分内容：</w:t>
            </w:r>
          </w:p>
          <w:p w14:paraId="59104359">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根据供应商提供的</w:t>
            </w:r>
            <w:r>
              <w:rPr>
                <w:rFonts w:hint="eastAsia" w:asciiTheme="minorEastAsia" w:hAnsiTheme="minorEastAsia" w:eastAsiaTheme="minorEastAsia" w:cstheme="minorEastAsia"/>
                <w:color w:val="auto"/>
                <w:kern w:val="0"/>
                <w:sz w:val="24"/>
                <w:szCs w:val="24"/>
                <w:highlight w:val="none"/>
              </w:rPr>
              <w:t>项目</w:t>
            </w:r>
            <w:r>
              <w:rPr>
                <w:rFonts w:hint="eastAsia" w:asciiTheme="minorEastAsia" w:hAnsiTheme="minorEastAsia" w:eastAsiaTheme="minorEastAsia" w:cstheme="minorEastAsia"/>
                <w:color w:val="auto"/>
                <w:sz w:val="24"/>
                <w:szCs w:val="24"/>
                <w:highlight w:val="none"/>
              </w:rPr>
              <w:t>实施方案进行评定，</w:t>
            </w:r>
            <w:r>
              <w:rPr>
                <w:rFonts w:hint="eastAsia" w:asciiTheme="minorEastAsia" w:hAnsiTheme="minorEastAsia" w:eastAsiaTheme="minorEastAsia" w:cstheme="minorEastAsia"/>
                <w:color w:val="auto"/>
                <w:kern w:val="0"/>
                <w:sz w:val="24"/>
                <w:szCs w:val="24"/>
                <w:highlight w:val="none"/>
              </w:rPr>
              <w:t>项目</w:t>
            </w:r>
            <w:r>
              <w:rPr>
                <w:rFonts w:hint="eastAsia" w:asciiTheme="minorEastAsia" w:hAnsiTheme="minorEastAsia" w:eastAsiaTheme="minorEastAsia" w:cstheme="minorEastAsia"/>
                <w:color w:val="auto"/>
                <w:sz w:val="24"/>
                <w:szCs w:val="24"/>
                <w:highlight w:val="none"/>
              </w:rPr>
              <w:t>实施</w:t>
            </w:r>
            <w:r>
              <w:rPr>
                <w:rFonts w:hint="eastAsia" w:asciiTheme="minorEastAsia" w:hAnsiTheme="minorEastAsia" w:eastAsiaTheme="minorEastAsia" w:cstheme="minorEastAsia"/>
                <w:color w:val="auto"/>
                <w:sz w:val="24"/>
                <w:szCs w:val="24"/>
                <w:highlight w:val="none"/>
                <w:lang w:eastAsia="zh-CN"/>
              </w:rPr>
              <w:t>方案至少包括</w:t>
            </w:r>
            <w:r>
              <w:rPr>
                <w:rFonts w:hint="eastAsia" w:asciiTheme="minorEastAsia" w:hAnsiTheme="minorEastAsia" w:eastAsiaTheme="minorEastAsia" w:cstheme="minorEastAsia"/>
                <w:color w:val="auto"/>
                <w:sz w:val="24"/>
                <w:szCs w:val="24"/>
                <w:highlight w:val="none"/>
              </w:rPr>
              <w:t>：</w:t>
            </w:r>
          </w:p>
          <w:p w14:paraId="05B8DB76">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①实施计划；</w:t>
            </w:r>
          </w:p>
          <w:p w14:paraId="5489D574">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②资源配置；</w:t>
            </w:r>
          </w:p>
          <w:p w14:paraId="0CA6DF48">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③进度管控；</w:t>
            </w:r>
          </w:p>
          <w:p w14:paraId="3F4E79F9">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④质量保证</w:t>
            </w:r>
            <w:r>
              <w:rPr>
                <w:rFonts w:hint="eastAsia" w:asciiTheme="minorEastAsia" w:hAnsiTheme="minorEastAsia" w:eastAsiaTheme="minorEastAsia" w:cstheme="minorEastAsia"/>
                <w:color w:val="auto"/>
                <w:sz w:val="24"/>
                <w:szCs w:val="24"/>
                <w:highlight w:val="none"/>
                <w:lang w:eastAsia="zh-CN"/>
              </w:rPr>
              <w:t>。</w:t>
            </w:r>
          </w:p>
          <w:p w14:paraId="6B16734F">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以上内容每有一项缺失对应项内容的扣</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分，每项内容中有一处内容有缺陷的扣0.5分，扣完为止。</w:t>
            </w:r>
          </w:p>
          <w:p w14:paraId="54371225">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内容有缺陷包括但不限于：</w:t>
            </w:r>
          </w:p>
          <w:p w14:paraId="34064760">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1）方案内容与项目需求基本不一致；</w:t>
            </w:r>
          </w:p>
          <w:p w14:paraId="55E1B85A">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2）方案内容与实际实施存在差异；</w:t>
            </w:r>
          </w:p>
          <w:p w14:paraId="093B12CC">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3）方案内容条理基本不清晰或内容不充实；</w:t>
            </w:r>
          </w:p>
          <w:p w14:paraId="3EB2AB82">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4）方案内容语义表述不清，前后矛盾，混乱。</w:t>
            </w:r>
          </w:p>
        </w:tc>
        <w:tc>
          <w:tcPr>
            <w:tcW w:w="1100" w:type="dxa"/>
            <w:vAlign w:val="center"/>
          </w:tcPr>
          <w:p w14:paraId="286585E3">
            <w:pPr>
              <w:pStyle w:val="15"/>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8</w:t>
            </w:r>
          </w:p>
        </w:tc>
      </w:tr>
      <w:tr w14:paraId="4F5E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775" w:type="dxa"/>
            <w:vAlign w:val="center"/>
          </w:tcPr>
          <w:p w14:paraId="3E929241">
            <w:pPr>
              <w:pStyle w:val="15"/>
              <w:spacing w:line="360" w:lineRule="auto"/>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1186" w:type="dxa"/>
            <w:shd w:val="clear" w:color="auto" w:fill="auto"/>
            <w:vAlign w:val="center"/>
          </w:tcPr>
          <w:p w14:paraId="2EEAF5AD">
            <w:pPr>
              <w:pStyle w:val="15"/>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DRG系统切换服务</w:t>
            </w:r>
            <w:r>
              <w:rPr>
                <w:rFonts w:hint="eastAsia" w:asciiTheme="minorEastAsia" w:hAnsiTheme="minorEastAsia" w:eastAsiaTheme="minorEastAsia" w:cstheme="minorEastAsia"/>
                <w:color w:val="auto"/>
                <w:sz w:val="24"/>
                <w:szCs w:val="24"/>
                <w:highlight w:val="none"/>
                <w:lang w:val="en-US" w:eastAsia="zh-CN"/>
              </w:rPr>
              <w:t>方案</w:t>
            </w:r>
          </w:p>
        </w:tc>
        <w:tc>
          <w:tcPr>
            <w:tcW w:w="7355" w:type="dxa"/>
            <w:gridSpan w:val="2"/>
            <w:vAlign w:val="center"/>
          </w:tcPr>
          <w:p w14:paraId="29EACDE3">
            <w:pPr>
              <w:pStyle w:val="15"/>
              <w:snapToGrid/>
              <w:spacing w:line="360" w:lineRule="auto"/>
              <w:ind w:firstLine="48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评分内容：</w:t>
            </w:r>
          </w:p>
          <w:p w14:paraId="3A8B0F99">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根据供应商提供的DRG系统切换服务方案进行评定，</w:t>
            </w:r>
            <w:r>
              <w:rPr>
                <w:rFonts w:hint="eastAsia" w:asciiTheme="minorEastAsia" w:hAnsiTheme="minorEastAsia" w:eastAsiaTheme="minorEastAsia" w:cstheme="minorEastAsia"/>
                <w:color w:val="auto"/>
                <w:sz w:val="24"/>
                <w:szCs w:val="24"/>
                <w:highlight w:val="none"/>
                <w:lang w:eastAsia="zh-CN"/>
              </w:rPr>
              <w:t>方案至少包括</w:t>
            </w:r>
            <w:r>
              <w:rPr>
                <w:rFonts w:hint="eastAsia" w:asciiTheme="minorEastAsia" w:hAnsiTheme="minorEastAsia" w:eastAsiaTheme="minorEastAsia" w:cstheme="minorEastAsia"/>
                <w:color w:val="auto"/>
                <w:sz w:val="24"/>
                <w:szCs w:val="24"/>
                <w:highlight w:val="none"/>
              </w:rPr>
              <w:t>：</w:t>
            </w:r>
          </w:p>
          <w:p w14:paraId="07A7BDBA">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lang w:val="en-US" w:eastAsia="zh-CN"/>
              </w:rPr>
              <w:t>切换需求</w:t>
            </w:r>
            <w:r>
              <w:rPr>
                <w:rFonts w:hint="eastAsia" w:asciiTheme="minorEastAsia" w:hAnsiTheme="minorEastAsia" w:eastAsiaTheme="minorEastAsia" w:cstheme="minorEastAsia"/>
                <w:color w:val="auto"/>
                <w:sz w:val="24"/>
                <w:szCs w:val="24"/>
                <w:highlight w:val="none"/>
              </w:rPr>
              <w:t>分析</w:t>
            </w:r>
            <w:r>
              <w:rPr>
                <w:rFonts w:hint="eastAsia" w:asciiTheme="minorEastAsia" w:hAnsiTheme="minorEastAsia" w:eastAsiaTheme="minorEastAsia" w:cstheme="minorEastAsia"/>
                <w:color w:val="auto"/>
                <w:sz w:val="24"/>
                <w:szCs w:val="24"/>
                <w:highlight w:val="none"/>
                <w:lang w:eastAsia="zh-CN"/>
              </w:rPr>
              <w:t>；</w:t>
            </w:r>
          </w:p>
          <w:p w14:paraId="2E5BE5B1">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②省DRG平台系统配置</w:t>
            </w:r>
            <w:r>
              <w:rPr>
                <w:rFonts w:hint="eastAsia" w:asciiTheme="minorEastAsia" w:hAnsiTheme="minorEastAsia" w:eastAsiaTheme="minorEastAsia" w:cstheme="minorEastAsia"/>
                <w:color w:val="auto"/>
                <w:sz w:val="24"/>
                <w:szCs w:val="24"/>
                <w:highlight w:val="none"/>
                <w:lang w:val="en-US" w:eastAsia="zh-CN"/>
              </w:rPr>
              <w:t>方案</w:t>
            </w:r>
            <w:r>
              <w:rPr>
                <w:rFonts w:hint="eastAsia" w:asciiTheme="minorEastAsia" w:hAnsiTheme="minorEastAsia" w:eastAsiaTheme="minorEastAsia" w:cstheme="minorEastAsia"/>
                <w:color w:val="auto"/>
                <w:sz w:val="24"/>
                <w:szCs w:val="24"/>
                <w:highlight w:val="none"/>
                <w:lang w:eastAsia="zh-CN"/>
              </w:rPr>
              <w:t>；</w:t>
            </w:r>
          </w:p>
          <w:p w14:paraId="2AB53ACE">
            <w:pPr>
              <w:pStyle w:val="15"/>
              <w:snapToGrid/>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③</w:t>
            </w:r>
            <w:r>
              <w:rPr>
                <w:rFonts w:hint="eastAsia" w:asciiTheme="minorEastAsia" w:hAnsiTheme="minorEastAsia" w:eastAsiaTheme="minorEastAsia" w:cstheme="minorEastAsia"/>
                <w:color w:val="auto"/>
                <w:sz w:val="24"/>
                <w:szCs w:val="24"/>
                <w:highlight w:val="none"/>
                <w:lang w:val="en-US" w:eastAsia="zh-CN"/>
              </w:rPr>
              <w:t>功能测试与校验方案；</w:t>
            </w:r>
          </w:p>
          <w:p w14:paraId="4024E4C6">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w:t>
            </w:r>
            <w:r>
              <w:rPr>
                <w:rFonts w:hint="eastAsia" w:asciiTheme="minorEastAsia" w:hAnsiTheme="minorEastAsia" w:eastAsiaTheme="minorEastAsia" w:cstheme="minorEastAsia"/>
                <w:color w:val="auto"/>
                <w:sz w:val="24"/>
                <w:szCs w:val="24"/>
                <w:highlight w:val="none"/>
                <w:lang w:val="en-US" w:eastAsia="zh-CN"/>
              </w:rPr>
              <w:t>历史数据迁移方案。</w:t>
            </w:r>
          </w:p>
          <w:p w14:paraId="7D7CE796">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以上内容每有一项缺失对应项内容的扣</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分，每项内容中有一处内容有缺陷的扣0.5分，扣完为止。</w:t>
            </w:r>
          </w:p>
          <w:p w14:paraId="0EB5FD62">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内容有缺陷包括但不限于：</w:t>
            </w:r>
          </w:p>
          <w:p w14:paraId="3AFBEBF9">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1）方案内容与项目需求基本不一致；</w:t>
            </w:r>
          </w:p>
          <w:p w14:paraId="7C22AC04">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2）方案内容与实际实施存在差异；</w:t>
            </w:r>
          </w:p>
          <w:p w14:paraId="3904C2C8">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3）方案内容条理基本不清晰或内容不充实；</w:t>
            </w:r>
          </w:p>
          <w:p w14:paraId="79112C0C">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4）方案内容语义表述不清，前后矛盾，混乱。</w:t>
            </w:r>
          </w:p>
        </w:tc>
        <w:tc>
          <w:tcPr>
            <w:tcW w:w="1100" w:type="dxa"/>
            <w:vAlign w:val="center"/>
          </w:tcPr>
          <w:p w14:paraId="3C3ACA9D">
            <w:pPr>
              <w:pStyle w:val="15"/>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w:t>
            </w:r>
          </w:p>
        </w:tc>
      </w:tr>
      <w:tr w14:paraId="48D2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Align w:val="center"/>
          </w:tcPr>
          <w:p w14:paraId="4E296F84">
            <w:pPr>
              <w:pStyle w:val="15"/>
              <w:snapToGrid/>
              <w:spacing w:line="360" w:lineRule="auto"/>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1186" w:type="dxa"/>
            <w:vMerge w:val="restart"/>
            <w:vAlign w:val="center"/>
          </w:tcPr>
          <w:p w14:paraId="53BDA460">
            <w:pPr>
              <w:pStyle w:val="15"/>
              <w:snapToGrid/>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支付改革技术支撑服务方案</w:t>
            </w:r>
          </w:p>
          <w:p w14:paraId="101533C2">
            <w:pPr>
              <w:pStyle w:val="15"/>
              <w:snapToGrid/>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tc>
        <w:tc>
          <w:tcPr>
            <w:tcW w:w="1011" w:type="dxa"/>
            <w:shd w:val="clear" w:color="auto" w:fill="auto"/>
            <w:vAlign w:val="center"/>
          </w:tcPr>
          <w:p w14:paraId="2DF0B7CA">
            <w:pPr>
              <w:pStyle w:val="15"/>
              <w:snapToGrid/>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历史数据采集方案</w:t>
            </w:r>
          </w:p>
        </w:tc>
        <w:tc>
          <w:tcPr>
            <w:tcW w:w="6344" w:type="dxa"/>
            <w:shd w:val="clear" w:color="auto" w:fill="auto"/>
            <w:vAlign w:val="center"/>
          </w:tcPr>
          <w:p w14:paraId="17EC96D6">
            <w:pPr>
              <w:pStyle w:val="15"/>
              <w:snapToGrid/>
              <w:spacing w:line="360" w:lineRule="auto"/>
              <w:ind w:firstLine="48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评分内容：</w:t>
            </w:r>
          </w:p>
          <w:p w14:paraId="4D14ACDD">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根据供应商提供的历史数据采集方案进行评定，采集</w:t>
            </w:r>
            <w:r>
              <w:rPr>
                <w:rFonts w:hint="eastAsia" w:asciiTheme="minorEastAsia" w:hAnsiTheme="minorEastAsia" w:eastAsiaTheme="minorEastAsia" w:cstheme="minorEastAsia"/>
                <w:color w:val="auto"/>
                <w:sz w:val="24"/>
                <w:szCs w:val="24"/>
                <w:highlight w:val="none"/>
                <w:lang w:eastAsia="zh-CN"/>
              </w:rPr>
              <w:t>方案至少包括</w:t>
            </w:r>
            <w:r>
              <w:rPr>
                <w:rFonts w:hint="eastAsia" w:asciiTheme="minorEastAsia" w:hAnsiTheme="minorEastAsia" w:eastAsiaTheme="minorEastAsia" w:cstheme="minorEastAsia"/>
                <w:color w:val="auto"/>
                <w:sz w:val="24"/>
                <w:szCs w:val="24"/>
                <w:highlight w:val="none"/>
              </w:rPr>
              <w:t>：</w:t>
            </w:r>
          </w:p>
          <w:p w14:paraId="0CF3BADF">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①数据采集目的；</w:t>
            </w:r>
          </w:p>
          <w:p w14:paraId="0CF7063A">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②具体工作步骤</w:t>
            </w:r>
            <w:r>
              <w:rPr>
                <w:rFonts w:hint="eastAsia" w:asciiTheme="minorEastAsia" w:hAnsiTheme="minorEastAsia" w:eastAsiaTheme="minorEastAsia" w:cstheme="minorEastAsia"/>
                <w:color w:val="auto"/>
                <w:sz w:val="24"/>
                <w:szCs w:val="24"/>
                <w:highlight w:val="none"/>
                <w:lang w:eastAsia="zh-CN"/>
              </w:rPr>
              <w:t>，</w:t>
            </w:r>
          </w:p>
          <w:p w14:paraId="5F87E4D5">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以上内容每有一项缺失对应项内容的扣</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分，每项内容中有一处内容有缺陷的扣0.5分，扣完为止。</w:t>
            </w:r>
          </w:p>
          <w:p w14:paraId="1158F19F">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内容有缺陷包括但不限于：</w:t>
            </w:r>
          </w:p>
          <w:p w14:paraId="57D321BC">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1）方案内容与项目需求基本不一致；</w:t>
            </w:r>
          </w:p>
          <w:p w14:paraId="7EA62063">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2）方案内容与实际实施存在差异；</w:t>
            </w:r>
          </w:p>
          <w:p w14:paraId="5E78554A">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3）方案内容条理基本不清晰或内容不充实；</w:t>
            </w:r>
          </w:p>
          <w:p w14:paraId="4198E99A">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4）方案内容语义表述不清，前后矛盾，混乱。</w:t>
            </w:r>
          </w:p>
        </w:tc>
        <w:tc>
          <w:tcPr>
            <w:tcW w:w="1100" w:type="dxa"/>
            <w:vAlign w:val="center"/>
          </w:tcPr>
          <w:p w14:paraId="54D743C9">
            <w:pPr>
              <w:pStyle w:val="15"/>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w:t>
            </w:r>
          </w:p>
        </w:tc>
      </w:tr>
      <w:tr w14:paraId="52EA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775" w:type="dxa"/>
            <w:vAlign w:val="center"/>
          </w:tcPr>
          <w:p w14:paraId="021DB0AF">
            <w:pPr>
              <w:pStyle w:val="15"/>
              <w:snapToGrid/>
              <w:spacing w:line="360" w:lineRule="auto"/>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5</w:t>
            </w:r>
          </w:p>
        </w:tc>
        <w:tc>
          <w:tcPr>
            <w:tcW w:w="1186" w:type="dxa"/>
            <w:vMerge w:val="continue"/>
            <w:vAlign w:val="center"/>
          </w:tcPr>
          <w:p w14:paraId="2F0720C1">
            <w:pPr>
              <w:pStyle w:val="15"/>
              <w:snapToGrid/>
              <w:spacing w:line="360" w:lineRule="auto"/>
              <w:ind w:firstLine="480"/>
              <w:jc w:val="center"/>
              <w:rPr>
                <w:rFonts w:hint="eastAsia" w:asciiTheme="minorEastAsia" w:hAnsiTheme="minorEastAsia" w:eastAsiaTheme="minorEastAsia" w:cstheme="minorEastAsia"/>
                <w:color w:val="auto"/>
                <w:sz w:val="24"/>
                <w:szCs w:val="24"/>
                <w:highlight w:val="none"/>
              </w:rPr>
            </w:pPr>
          </w:p>
        </w:tc>
        <w:tc>
          <w:tcPr>
            <w:tcW w:w="1011" w:type="dxa"/>
            <w:shd w:val="clear" w:color="auto" w:fill="auto"/>
            <w:vAlign w:val="center"/>
          </w:tcPr>
          <w:p w14:paraId="441DAE71">
            <w:pPr>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数据标化治理方案</w:t>
            </w:r>
          </w:p>
        </w:tc>
        <w:tc>
          <w:tcPr>
            <w:tcW w:w="6344" w:type="dxa"/>
            <w:vAlign w:val="center"/>
          </w:tcPr>
          <w:p w14:paraId="2297FF9F">
            <w:pPr>
              <w:pStyle w:val="15"/>
              <w:snapToGrid/>
              <w:spacing w:line="360" w:lineRule="auto"/>
              <w:ind w:firstLine="48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评分内容：</w:t>
            </w:r>
          </w:p>
          <w:p w14:paraId="448AEA98">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根据供应商提供的数据标化治理方案进行评定，治理</w:t>
            </w:r>
            <w:r>
              <w:rPr>
                <w:rFonts w:hint="eastAsia" w:asciiTheme="minorEastAsia" w:hAnsiTheme="minorEastAsia" w:eastAsiaTheme="minorEastAsia" w:cstheme="minorEastAsia"/>
                <w:color w:val="auto"/>
                <w:sz w:val="24"/>
                <w:szCs w:val="24"/>
                <w:highlight w:val="none"/>
                <w:lang w:eastAsia="zh-CN"/>
              </w:rPr>
              <w:t>方案至少包括</w:t>
            </w:r>
            <w:r>
              <w:rPr>
                <w:rFonts w:hint="eastAsia" w:asciiTheme="minorEastAsia" w:hAnsiTheme="minorEastAsia" w:eastAsiaTheme="minorEastAsia" w:cstheme="minorEastAsia"/>
                <w:color w:val="auto"/>
                <w:sz w:val="24"/>
                <w:szCs w:val="24"/>
                <w:highlight w:val="none"/>
              </w:rPr>
              <w:t>：</w:t>
            </w:r>
          </w:p>
          <w:p w14:paraId="780D4D06">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①数据清洗标化治理；</w:t>
            </w:r>
          </w:p>
          <w:p w14:paraId="5297818B">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②病例审查服务；</w:t>
            </w:r>
          </w:p>
          <w:p w14:paraId="282EF837">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③病案质量提升</w:t>
            </w:r>
            <w:r>
              <w:rPr>
                <w:rFonts w:hint="eastAsia" w:asciiTheme="minorEastAsia" w:hAnsiTheme="minorEastAsia" w:eastAsiaTheme="minorEastAsia" w:cstheme="minorEastAsia"/>
                <w:color w:val="auto"/>
                <w:sz w:val="24"/>
                <w:szCs w:val="24"/>
                <w:highlight w:val="none"/>
                <w:lang w:eastAsia="zh-CN"/>
              </w:rPr>
              <w:t>。</w:t>
            </w:r>
          </w:p>
          <w:p w14:paraId="5F7501BF">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以上内容每有一项缺失对应项内容的扣</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分，每项内容中有一处内容有缺陷的扣0.5分，扣完为止。</w:t>
            </w:r>
          </w:p>
          <w:p w14:paraId="102CE746">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内容有缺陷包括但不限于：</w:t>
            </w:r>
          </w:p>
          <w:p w14:paraId="5DA71D6C">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1）方案内容与项目需求基本不一致；</w:t>
            </w:r>
          </w:p>
          <w:p w14:paraId="641AFCBB">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2）方案内容与实际实施存在差异；</w:t>
            </w:r>
          </w:p>
          <w:p w14:paraId="6A1EAAF3">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3）方案内容条理基本不清晰或内容不充实；</w:t>
            </w:r>
          </w:p>
          <w:p w14:paraId="3590E876">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4）方案内容语义表述不清，前后矛盾，混乱。</w:t>
            </w:r>
          </w:p>
        </w:tc>
        <w:tc>
          <w:tcPr>
            <w:tcW w:w="1100" w:type="dxa"/>
            <w:vAlign w:val="center"/>
          </w:tcPr>
          <w:p w14:paraId="1531B557">
            <w:pPr>
              <w:pStyle w:val="15"/>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p>
        </w:tc>
      </w:tr>
      <w:tr w14:paraId="47AB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75" w:type="dxa"/>
            <w:vAlign w:val="center"/>
          </w:tcPr>
          <w:p w14:paraId="73CED750">
            <w:pPr>
              <w:pStyle w:val="15"/>
              <w:snapToGrid/>
              <w:spacing w:line="360" w:lineRule="auto"/>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6</w:t>
            </w:r>
          </w:p>
        </w:tc>
        <w:tc>
          <w:tcPr>
            <w:tcW w:w="1186" w:type="dxa"/>
            <w:vMerge w:val="continue"/>
            <w:vAlign w:val="center"/>
          </w:tcPr>
          <w:p w14:paraId="75A01578">
            <w:pPr>
              <w:pStyle w:val="15"/>
              <w:snapToGrid/>
              <w:spacing w:line="360" w:lineRule="auto"/>
              <w:ind w:firstLine="480"/>
              <w:jc w:val="center"/>
              <w:rPr>
                <w:rFonts w:hint="eastAsia" w:asciiTheme="minorEastAsia" w:hAnsiTheme="minorEastAsia" w:eastAsiaTheme="minorEastAsia" w:cstheme="minorEastAsia"/>
                <w:color w:val="auto"/>
                <w:sz w:val="24"/>
                <w:szCs w:val="24"/>
                <w:highlight w:val="none"/>
              </w:rPr>
            </w:pPr>
          </w:p>
        </w:tc>
        <w:tc>
          <w:tcPr>
            <w:tcW w:w="1011" w:type="dxa"/>
            <w:shd w:val="clear" w:color="auto" w:fill="auto"/>
            <w:vAlign w:val="center"/>
          </w:tcPr>
          <w:p w14:paraId="2E56D214">
            <w:pPr>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分组测算调优方案</w:t>
            </w:r>
          </w:p>
        </w:tc>
        <w:tc>
          <w:tcPr>
            <w:tcW w:w="6344" w:type="dxa"/>
            <w:vAlign w:val="center"/>
          </w:tcPr>
          <w:p w14:paraId="60C0A34C">
            <w:pPr>
              <w:pStyle w:val="15"/>
              <w:snapToGrid/>
              <w:spacing w:line="360" w:lineRule="auto"/>
              <w:ind w:firstLine="48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评分内容：</w:t>
            </w:r>
          </w:p>
          <w:p w14:paraId="4D755926">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根据供应商提供的分组测算调优方案进行评定，分组</w:t>
            </w:r>
            <w:r>
              <w:rPr>
                <w:rFonts w:hint="eastAsia" w:asciiTheme="minorEastAsia" w:hAnsiTheme="minorEastAsia" w:eastAsiaTheme="minorEastAsia" w:cstheme="minorEastAsia"/>
                <w:color w:val="auto"/>
                <w:sz w:val="24"/>
                <w:szCs w:val="24"/>
                <w:highlight w:val="none"/>
                <w:lang w:eastAsia="zh-CN"/>
              </w:rPr>
              <w:t>方案至少包括</w:t>
            </w:r>
            <w:r>
              <w:rPr>
                <w:rFonts w:hint="eastAsia" w:asciiTheme="minorEastAsia" w:hAnsiTheme="minorEastAsia" w:eastAsiaTheme="minorEastAsia" w:cstheme="minorEastAsia"/>
                <w:color w:val="auto"/>
                <w:sz w:val="24"/>
                <w:szCs w:val="24"/>
                <w:highlight w:val="none"/>
              </w:rPr>
              <w:t>：</w:t>
            </w:r>
          </w:p>
          <w:p w14:paraId="5CF6B99D">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①CHS-DRG分组策略与方法；</w:t>
            </w:r>
          </w:p>
          <w:p w14:paraId="6FB43CD4">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②分组持续优化服务</w:t>
            </w:r>
            <w:r>
              <w:rPr>
                <w:rFonts w:hint="eastAsia" w:asciiTheme="minorEastAsia" w:hAnsiTheme="minorEastAsia" w:eastAsiaTheme="minorEastAsia" w:cstheme="minorEastAsia"/>
                <w:color w:val="auto"/>
                <w:sz w:val="24"/>
                <w:szCs w:val="24"/>
                <w:highlight w:val="none"/>
                <w:lang w:eastAsia="zh-CN"/>
              </w:rPr>
              <w:t>。</w:t>
            </w:r>
          </w:p>
          <w:p w14:paraId="319E7BD1">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以上内容每有一项缺失对应项内容的扣</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分，每项内容中有一处内容有缺陷的扣0.5分，扣完为止。</w:t>
            </w:r>
          </w:p>
          <w:p w14:paraId="1B2178C6">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内容有缺陷包括但不限于：</w:t>
            </w:r>
          </w:p>
          <w:p w14:paraId="7CE36B1A">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1）方案内容与项目需求基本不一致；</w:t>
            </w:r>
          </w:p>
          <w:p w14:paraId="690AF1AE">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2）方案内容与实际实施存在差异；</w:t>
            </w:r>
          </w:p>
          <w:p w14:paraId="5C3DB688">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3）方案内容条理基本不清晰或内容不充实；</w:t>
            </w:r>
          </w:p>
          <w:p w14:paraId="6FCE5672">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4）方案内容语义表述不清，前后矛盾，混乱。</w:t>
            </w:r>
          </w:p>
        </w:tc>
        <w:tc>
          <w:tcPr>
            <w:tcW w:w="1100" w:type="dxa"/>
            <w:vAlign w:val="center"/>
          </w:tcPr>
          <w:p w14:paraId="55575D44">
            <w:pPr>
              <w:pStyle w:val="15"/>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p>
        </w:tc>
      </w:tr>
      <w:tr w14:paraId="647A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Align w:val="center"/>
          </w:tcPr>
          <w:p w14:paraId="4A2A5C72">
            <w:pPr>
              <w:pStyle w:val="15"/>
              <w:snapToGrid/>
              <w:spacing w:line="360" w:lineRule="auto"/>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7</w:t>
            </w:r>
          </w:p>
        </w:tc>
        <w:tc>
          <w:tcPr>
            <w:tcW w:w="1186" w:type="dxa"/>
            <w:vMerge w:val="continue"/>
            <w:vAlign w:val="center"/>
          </w:tcPr>
          <w:p w14:paraId="393F8110">
            <w:pPr>
              <w:pStyle w:val="15"/>
              <w:snapToGrid/>
              <w:spacing w:line="360" w:lineRule="auto"/>
              <w:ind w:firstLine="480"/>
              <w:jc w:val="center"/>
              <w:rPr>
                <w:rFonts w:hint="eastAsia" w:asciiTheme="minorEastAsia" w:hAnsiTheme="minorEastAsia" w:eastAsiaTheme="minorEastAsia" w:cstheme="minorEastAsia"/>
                <w:color w:val="auto"/>
                <w:sz w:val="24"/>
                <w:szCs w:val="24"/>
                <w:highlight w:val="none"/>
              </w:rPr>
            </w:pPr>
          </w:p>
        </w:tc>
        <w:tc>
          <w:tcPr>
            <w:tcW w:w="1011" w:type="dxa"/>
            <w:shd w:val="clear" w:color="auto" w:fill="auto"/>
            <w:vAlign w:val="center"/>
          </w:tcPr>
          <w:p w14:paraId="690839C1">
            <w:pPr>
              <w:pStyle w:val="15"/>
              <w:snapToGrid/>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支付标准测算方案</w:t>
            </w:r>
          </w:p>
        </w:tc>
        <w:tc>
          <w:tcPr>
            <w:tcW w:w="6344" w:type="dxa"/>
            <w:vAlign w:val="center"/>
          </w:tcPr>
          <w:p w14:paraId="250DF6B6">
            <w:pPr>
              <w:pStyle w:val="15"/>
              <w:snapToGrid/>
              <w:spacing w:line="360" w:lineRule="auto"/>
              <w:ind w:firstLine="48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评分内容：</w:t>
            </w:r>
          </w:p>
          <w:p w14:paraId="148A862F">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根据供应商提供的支付标准测算方案进行评定，测算</w:t>
            </w:r>
            <w:r>
              <w:rPr>
                <w:rFonts w:hint="eastAsia" w:asciiTheme="minorEastAsia" w:hAnsiTheme="minorEastAsia" w:eastAsiaTheme="minorEastAsia" w:cstheme="minorEastAsia"/>
                <w:color w:val="auto"/>
                <w:sz w:val="24"/>
                <w:szCs w:val="24"/>
                <w:highlight w:val="none"/>
                <w:lang w:eastAsia="zh-CN"/>
              </w:rPr>
              <w:t>方案至少包括</w:t>
            </w:r>
            <w:r>
              <w:rPr>
                <w:rFonts w:hint="eastAsia" w:asciiTheme="minorEastAsia" w:hAnsiTheme="minorEastAsia" w:eastAsiaTheme="minorEastAsia" w:cstheme="minorEastAsia"/>
                <w:color w:val="auto"/>
                <w:sz w:val="24"/>
                <w:szCs w:val="24"/>
                <w:highlight w:val="none"/>
              </w:rPr>
              <w:t>：</w:t>
            </w:r>
          </w:p>
          <w:p w14:paraId="032193AA">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①基金预算体系建立；</w:t>
            </w:r>
          </w:p>
          <w:p w14:paraId="7952DEF7">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②DRG权重测算；</w:t>
            </w:r>
          </w:p>
          <w:p w14:paraId="5672CE89">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③DRG费率测算；</w:t>
            </w:r>
          </w:p>
          <w:p w14:paraId="078AD58E">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④</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标准验证调整</w:t>
            </w:r>
            <w:r>
              <w:rPr>
                <w:rFonts w:hint="eastAsia" w:asciiTheme="minorEastAsia" w:hAnsiTheme="minorEastAsia" w:eastAsiaTheme="minorEastAsia" w:cstheme="minorEastAsia"/>
                <w:color w:val="auto"/>
                <w:sz w:val="24"/>
                <w:szCs w:val="24"/>
                <w:highlight w:val="none"/>
                <w:lang w:eastAsia="zh-CN"/>
              </w:rPr>
              <w:t>。</w:t>
            </w:r>
          </w:p>
          <w:p w14:paraId="7500B1A7">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以上内容每有一项缺失对应项内容的扣</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分，每项内容中有一处内容有缺陷的扣0.5分，扣完为止。</w:t>
            </w:r>
          </w:p>
          <w:p w14:paraId="2D315B89">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内容有缺陷包括但不限于：</w:t>
            </w:r>
          </w:p>
          <w:p w14:paraId="63D761F0">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1）方案内容与项目需求基本不一致；</w:t>
            </w:r>
          </w:p>
          <w:p w14:paraId="145CF8ED">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2）方案内容与实际实施存在差异；</w:t>
            </w:r>
          </w:p>
          <w:p w14:paraId="25F88E5F">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3）方案内容条理基本不清晰或内容不充实；</w:t>
            </w:r>
          </w:p>
          <w:p w14:paraId="57A191CF">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4）方案内容语义表述不清，前后矛盾，混乱。</w:t>
            </w:r>
          </w:p>
        </w:tc>
        <w:tc>
          <w:tcPr>
            <w:tcW w:w="1100" w:type="dxa"/>
            <w:vAlign w:val="center"/>
          </w:tcPr>
          <w:p w14:paraId="2E214BFC">
            <w:pPr>
              <w:pStyle w:val="15"/>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r>
      <w:tr w14:paraId="10E1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Align w:val="center"/>
          </w:tcPr>
          <w:p w14:paraId="5DC1FD9C">
            <w:pPr>
              <w:pStyle w:val="15"/>
              <w:snapToGrid/>
              <w:spacing w:line="360" w:lineRule="auto"/>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8</w:t>
            </w:r>
          </w:p>
        </w:tc>
        <w:tc>
          <w:tcPr>
            <w:tcW w:w="1186" w:type="dxa"/>
            <w:vMerge w:val="continue"/>
            <w:vAlign w:val="center"/>
          </w:tcPr>
          <w:p w14:paraId="70B1AE7A">
            <w:pPr>
              <w:pStyle w:val="15"/>
              <w:snapToGrid/>
              <w:spacing w:line="360" w:lineRule="auto"/>
              <w:ind w:firstLine="480"/>
              <w:jc w:val="center"/>
              <w:rPr>
                <w:rFonts w:hint="eastAsia" w:asciiTheme="minorEastAsia" w:hAnsiTheme="minorEastAsia" w:eastAsiaTheme="minorEastAsia" w:cstheme="minorEastAsia"/>
                <w:color w:val="auto"/>
                <w:sz w:val="24"/>
                <w:szCs w:val="24"/>
                <w:highlight w:val="none"/>
              </w:rPr>
            </w:pPr>
          </w:p>
        </w:tc>
        <w:tc>
          <w:tcPr>
            <w:tcW w:w="1011" w:type="dxa"/>
            <w:shd w:val="clear" w:color="auto" w:fill="auto"/>
            <w:vAlign w:val="center"/>
          </w:tcPr>
          <w:p w14:paraId="2EFF7A7C">
            <w:pPr>
              <w:pStyle w:val="15"/>
              <w:snapToGrid/>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政策辅助调优方案</w:t>
            </w:r>
          </w:p>
        </w:tc>
        <w:tc>
          <w:tcPr>
            <w:tcW w:w="6344" w:type="dxa"/>
            <w:vAlign w:val="center"/>
          </w:tcPr>
          <w:p w14:paraId="69937A8C">
            <w:pPr>
              <w:pStyle w:val="15"/>
              <w:snapToGrid/>
              <w:spacing w:line="360" w:lineRule="auto"/>
              <w:ind w:firstLine="48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评分内容：</w:t>
            </w:r>
          </w:p>
          <w:p w14:paraId="52226F53">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根据供应商提供的政策辅助调优方案进行评定，政策</w:t>
            </w:r>
            <w:r>
              <w:rPr>
                <w:rFonts w:hint="eastAsia" w:asciiTheme="minorEastAsia" w:hAnsiTheme="minorEastAsia" w:eastAsiaTheme="minorEastAsia" w:cstheme="minorEastAsia"/>
                <w:color w:val="auto"/>
                <w:sz w:val="24"/>
                <w:szCs w:val="24"/>
                <w:highlight w:val="none"/>
                <w:lang w:eastAsia="zh-CN"/>
              </w:rPr>
              <w:t>方案至少包括</w:t>
            </w:r>
            <w:r>
              <w:rPr>
                <w:rFonts w:hint="eastAsia" w:asciiTheme="minorEastAsia" w:hAnsiTheme="minorEastAsia" w:eastAsiaTheme="minorEastAsia" w:cstheme="minorEastAsia"/>
                <w:color w:val="auto"/>
                <w:sz w:val="24"/>
                <w:szCs w:val="24"/>
                <w:highlight w:val="none"/>
              </w:rPr>
              <w:t>：</w:t>
            </w:r>
          </w:p>
          <w:p w14:paraId="464888BC">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①</w:t>
            </w:r>
            <w:r>
              <w:rPr>
                <w:rFonts w:hint="eastAsia" w:asciiTheme="minorEastAsia" w:hAnsiTheme="minorEastAsia" w:eastAsiaTheme="minorEastAsia" w:cstheme="minorEastAsia"/>
                <w:color w:val="auto"/>
                <w:sz w:val="24"/>
                <w:szCs w:val="24"/>
                <w:highlight w:val="none"/>
              </w:rPr>
              <w:t>付费办法设计</w:t>
            </w:r>
            <w:r>
              <w:rPr>
                <w:rFonts w:hint="eastAsia" w:asciiTheme="minorEastAsia" w:hAnsiTheme="minorEastAsia" w:eastAsiaTheme="minorEastAsia" w:cstheme="minorEastAsia"/>
                <w:color w:val="auto"/>
                <w:sz w:val="24"/>
                <w:szCs w:val="24"/>
                <w:highlight w:val="none"/>
                <w:lang w:eastAsia="zh-CN"/>
              </w:rPr>
              <w:t>；</w:t>
            </w:r>
          </w:p>
          <w:p w14:paraId="7E748C56">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②</w:t>
            </w:r>
            <w:r>
              <w:rPr>
                <w:rFonts w:hint="eastAsia" w:asciiTheme="minorEastAsia" w:hAnsiTheme="minorEastAsia" w:eastAsiaTheme="minorEastAsia" w:cstheme="minorEastAsia"/>
                <w:color w:val="auto"/>
                <w:sz w:val="24"/>
                <w:szCs w:val="24"/>
                <w:highlight w:val="none"/>
              </w:rPr>
              <w:t>总额预算；</w:t>
            </w:r>
          </w:p>
          <w:p w14:paraId="2E5F9781">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③结算</w:t>
            </w:r>
            <w:r>
              <w:rPr>
                <w:rFonts w:hint="eastAsia" w:asciiTheme="minorEastAsia" w:hAnsiTheme="minorEastAsia" w:eastAsiaTheme="minorEastAsia" w:cstheme="minorEastAsia"/>
                <w:color w:val="auto"/>
                <w:sz w:val="24"/>
                <w:szCs w:val="24"/>
                <w:highlight w:val="none"/>
              </w:rPr>
              <w:t>办法；</w:t>
            </w:r>
          </w:p>
          <w:p w14:paraId="6FD1B775">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④监督管理；</w:t>
            </w:r>
          </w:p>
          <w:p w14:paraId="068DE972">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⑤可行性分析</w:t>
            </w:r>
            <w:r>
              <w:rPr>
                <w:rFonts w:hint="eastAsia" w:asciiTheme="minorEastAsia" w:hAnsiTheme="minorEastAsia" w:eastAsiaTheme="minorEastAsia" w:cstheme="minorEastAsia"/>
                <w:color w:val="auto"/>
                <w:sz w:val="24"/>
                <w:szCs w:val="24"/>
                <w:highlight w:val="none"/>
                <w:lang w:eastAsia="zh-CN"/>
              </w:rPr>
              <w:t>。</w:t>
            </w:r>
          </w:p>
          <w:p w14:paraId="2BFE7E3F">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以上内容每有一项缺失对应项内容的扣</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分，每项内容中有一处内容有缺陷的扣0.5分，扣完为止。</w:t>
            </w:r>
          </w:p>
          <w:p w14:paraId="3C8261B2">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内容有缺陷包括但不限于：</w:t>
            </w:r>
          </w:p>
          <w:p w14:paraId="3C2EAF0B">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1）方案内容与项目需求基本不一致；</w:t>
            </w:r>
          </w:p>
          <w:p w14:paraId="6225D07D">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2）方案内容与实际实施存在差异；</w:t>
            </w:r>
          </w:p>
          <w:p w14:paraId="1EC75E1B">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3）方案内容条理基本不清晰或内容不充实；</w:t>
            </w:r>
          </w:p>
          <w:p w14:paraId="68499C42">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4）方案内容语义表述不清，前后矛盾，混乱。</w:t>
            </w:r>
          </w:p>
        </w:tc>
        <w:tc>
          <w:tcPr>
            <w:tcW w:w="1100" w:type="dxa"/>
            <w:vAlign w:val="center"/>
          </w:tcPr>
          <w:p w14:paraId="3CA9D3D1">
            <w:pPr>
              <w:pStyle w:val="15"/>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w:t>
            </w:r>
          </w:p>
        </w:tc>
      </w:tr>
      <w:tr w14:paraId="3350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775" w:type="dxa"/>
            <w:vAlign w:val="center"/>
          </w:tcPr>
          <w:p w14:paraId="1E199EE3">
            <w:pPr>
              <w:pStyle w:val="15"/>
              <w:snapToGrid/>
              <w:spacing w:line="360" w:lineRule="auto"/>
              <w:ind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9</w:t>
            </w:r>
          </w:p>
        </w:tc>
        <w:tc>
          <w:tcPr>
            <w:tcW w:w="1186" w:type="dxa"/>
            <w:shd w:val="clear" w:color="auto" w:fill="auto"/>
            <w:vAlign w:val="center"/>
          </w:tcPr>
          <w:p w14:paraId="518A692A">
            <w:pPr>
              <w:pStyle w:val="15"/>
              <w:snapToGrid/>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经办辅助服务方案</w:t>
            </w:r>
          </w:p>
        </w:tc>
        <w:tc>
          <w:tcPr>
            <w:tcW w:w="7355" w:type="dxa"/>
            <w:gridSpan w:val="2"/>
            <w:vAlign w:val="center"/>
          </w:tcPr>
          <w:p w14:paraId="6EB583F1">
            <w:pPr>
              <w:pStyle w:val="15"/>
              <w:snapToGrid/>
              <w:spacing w:line="360" w:lineRule="auto"/>
              <w:ind w:firstLine="482"/>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评分内容：</w:t>
            </w:r>
          </w:p>
          <w:p w14:paraId="1DBCB42B">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根据供应商提供的DRG经办服务方案进行评定，经办</w:t>
            </w:r>
            <w:r>
              <w:rPr>
                <w:rFonts w:hint="eastAsia" w:asciiTheme="minorEastAsia" w:hAnsiTheme="minorEastAsia" w:eastAsiaTheme="minorEastAsia" w:cstheme="minorEastAsia"/>
                <w:color w:val="auto"/>
                <w:sz w:val="24"/>
                <w:szCs w:val="24"/>
                <w:highlight w:val="none"/>
                <w:lang w:eastAsia="zh-CN"/>
              </w:rPr>
              <w:t>方案至少包括</w:t>
            </w:r>
            <w:r>
              <w:rPr>
                <w:rFonts w:hint="eastAsia" w:asciiTheme="minorEastAsia" w:hAnsiTheme="minorEastAsia" w:eastAsiaTheme="minorEastAsia" w:cstheme="minorEastAsia"/>
                <w:color w:val="auto"/>
                <w:sz w:val="24"/>
                <w:szCs w:val="24"/>
                <w:highlight w:val="none"/>
              </w:rPr>
              <w:t>：</w:t>
            </w:r>
          </w:p>
          <w:p w14:paraId="03213E4D">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①</w:t>
            </w:r>
            <w:r>
              <w:rPr>
                <w:rFonts w:hint="eastAsia" w:asciiTheme="minorEastAsia" w:hAnsiTheme="minorEastAsia" w:eastAsiaTheme="minorEastAsia" w:cstheme="minorEastAsia"/>
                <w:color w:val="auto"/>
                <w:sz w:val="24"/>
                <w:szCs w:val="24"/>
                <w:highlight w:val="none"/>
              </w:rPr>
              <w:t>数据采集日常质控</w:t>
            </w:r>
            <w:r>
              <w:rPr>
                <w:rFonts w:hint="eastAsia" w:asciiTheme="minorEastAsia" w:hAnsiTheme="minorEastAsia" w:eastAsiaTheme="minorEastAsia" w:cstheme="minorEastAsia"/>
                <w:color w:val="auto"/>
                <w:sz w:val="24"/>
                <w:szCs w:val="24"/>
                <w:highlight w:val="none"/>
                <w:lang w:eastAsia="zh-CN"/>
              </w:rPr>
              <w:t>；</w:t>
            </w:r>
          </w:p>
          <w:p w14:paraId="11C34CB1">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②</w:t>
            </w:r>
            <w:r>
              <w:rPr>
                <w:rFonts w:hint="eastAsia" w:asciiTheme="minorEastAsia" w:hAnsiTheme="minorEastAsia" w:eastAsiaTheme="minorEastAsia" w:cstheme="minorEastAsia"/>
                <w:color w:val="auto"/>
                <w:sz w:val="24"/>
                <w:szCs w:val="24"/>
                <w:highlight w:val="none"/>
              </w:rPr>
              <w:t>病例分组审核反馈</w:t>
            </w:r>
            <w:r>
              <w:rPr>
                <w:rFonts w:hint="eastAsia" w:asciiTheme="minorEastAsia" w:hAnsiTheme="minorEastAsia" w:eastAsiaTheme="minorEastAsia" w:cstheme="minorEastAsia"/>
                <w:color w:val="auto"/>
                <w:sz w:val="24"/>
                <w:szCs w:val="24"/>
                <w:highlight w:val="none"/>
                <w:lang w:eastAsia="zh-CN"/>
              </w:rPr>
              <w:t>；</w:t>
            </w:r>
          </w:p>
          <w:p w14:paraId="25C74755">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③</w:t>
            </w:r>
            <w:r>
              <w:rPr>
                <w:rFonts w:hint="eastAsia" w:asciiTheme="minorEastAsia" w:hAnsiTheme="minorEastAsia" w:eastAsiaTheme="minorEastAsia" w:cstheme="minorEastAsia"/>
                <w:color w:val="auto"/>
                <w:sz w:val="24"/>
                <w:szCs w:val="24"/>
                <w:highlight w:val="none"/>
              </w:rPr>
              <w:t>月度DRG基金结算</w:t>
            </w:r>
            <w:r>
              <w:rPr>
                <w:rFonts w:hint="eastAsia" w:asciiTheme="minorEastAsia" w:hAnsiTheme="minorEastAsia" w:eastAsiaTheme="minorEastAsia" w:cstheme="minorEastAsia"/>
                <w:color w:val="auto"/>
                <w:sz w:val="24"/>
                <w:szCs w:val="24"/>
                <w:highlight w:val="none"/>
                <w:lang w:eastAsia="zh-CN"/>
              </w:rPr>
              <w:t>；</w:t>
            </w:r>
          </w:p>
          <w:p w14:paraId="5243CC35">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④</w:t>
            </w:r>
            <w:r>
              <w:rPr>
                <w:rFonts w:hint="eastAsia" w:asciiTheme="minorEastAsia" w:hAnsiTheme="minorEastAsia" w:eastAsiaTheme="minorEastAsia" w:cstheme="minorEastAsia"/>
                <w:color w:val="auto"/>
                <w:sz w:val="24"/>
                <w:szCs w:val="24"/>
                <w:highlight w:val="none"/>
              </w:rPr>
              <w:t>协助组织特殊病例筛查审核</w:t>
            </w:r>
            <w:r>
              <w:rPr>
                <w:rFonts w:hint="eastAsia" w:asciiTheme="minorEastAsia" w:hAnsiTheme="minorEastAsia" w:eastAsiaTheme="minorEastAsia" w:cstheme="minorEastAsia"/>
                <w:color w:val="auto"/>
                <w:sz w:val="24"/>
                <w:szCs w:val="24"/>
                <w:highlight w:val="none"/>
                <w:lang w:eastAsia="zh-CN"/>
              </w:rPr>
              <w:t>；</w:t>
            </w:r>
          </w:p>
          <w:p w14:paraId="53BD8CF2">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⑤</w:t>
            </w:r>
            <w:r>
              <w:rPr>
                <w:rFonts w:hint="eastAsia" w:asciiTheme="minorEastAsia" w:hAnsiTheme="minorEastAsia" w:eastAsiaTheme="minorEastAsia" w:cstheme="minorEastAsia"/>
                <w:color w:val="auto"/>
                <w:sz w:val="24"/>
                <w:szCs w:val="24"/>
                <w:highlight w:val="none"/>
              </w:rPr>
              <w:t>DRG付费年终清算</w:t>
            </w:r>
            <w:r>
              <w:rPr>
                <w:rFonts w:hint="eastAsia" w:asciiTheme="minorEastAsia" w:hAnsiTheme="minorEastAsia" w:eastAsiaTheme="minorEastAsia" w:cstheme="minorEastAsia"/>
                <w:color w:val="auto"/>
                <w:sz w:val="24"/>
                <w:szCs w:val="24"/>
                <w:highlight w:val="none"/>
                <w:lang w:eastAsia="zh-CN"/>
              </w:rPr>
              <w:t>；</w:t>
            </w:r>
          </w:p>
          <w:p w14:paraId="30AC0B00">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⑥</w:t>
            </w:r>
            <w:r>
              <w:rPr>
                <w:rFonts w:hint="eastAsia" w:asciiTheme="minorEastAsia" w:hAnsiTheme="minorEastAsia" w:eastAsiaTheme="minorEastAsia" w:cstheme="minorEastAsia"/>
                <w:color w:val="auto"/>
                <w:sz w:val="24"/>
                <w:szCs w:val="24"/>
                <w:highlight w:val="none"/>
              </w:rPr>
              <w:t>定期数据运行分析</w:t>
            </w:r>
            <w:r>
              <w:rPr>
                <w:rFonts w:hint="eastAsia" w:asciiTheme="minorEastAsia" w:hAnsiTheme="minorEastAsia" w:eastAsiaTheme="minorEastAsia" w:cstheme="minorEastAsia"/>
                <w:color w:val="auto"/>
                <w:sz w:val="24"/>
                <w:szCs w:val="24"/>
                <w:highlight w:val="none"/>
                <w:lang w:eastAsia="zh-CN"/>
              </w:rPr>
              <w:t>；</w:t>
            </w:r>
          </w:p>
          <w:p w14:paraId="6D3A9B5C">
            <w:pPr>
              <w:pStyle w:val="15"/>
              <w:snapToGrid/>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⑦</w:t>
            </w:r>
            <w:r>
              <w:rPr>
                <w:rFonts w:hint="eastAsia" w:asciiTheme="minorEastAsia" w:hAnsiTheme="minorEastAsia" w:eastAsiaTheme="minorEastAsia" w:cstheme="minorEastAsia"/>
                <w:color w:val="auto"/>
                <w:sz w:val="24"/>
                <w:szCs w:val="24"/>
                <w:highlight w:val="none"/>
              </w:rPr>
              <w:t>DRG专项业务培训</w:t>
            </w:r>
            <w:r>
              <w:rPr>
                <w:rFonts w:hint="eastAsia" w:asciiTheme="minorEastAsia" w:hAnsiTheme="minorEastAsia" w:eastAsiaTheme="minorEastAsia" w:cstheme="minorEastAsia"/>
                <w:color w:val="auto"/>
                <w:sz w:val="24"/>
                <w:szCs w:val="24"/>
                <w:highlight w:val="none"/>
                <w:lang w:eastAsia="zh-CN"/>
              </w:rPr>
              <w:t>。</w:t>
            </w:r>
          </w:p>
          <w:p w14:paraId="06D52716">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以上内容每有一项缺失对应项内容的扣</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分，每项内容中有一处内容有缺陷的扣0.5分，扣完为止。</w:t>
            </w:r>
          </w:p>
          <w:p w14:paraId="068899B7">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内容有缺陷包括但不限于：</w:t>
            </w:r>
          </w:p>
          <w:p w14:paraId="2B8E4178">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1）方案内容与项目需求基本不一致；</w:t>
            </w:r>
          </w:p>
          <w:p w14:paraId="64598250">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2）方案内容与实际实施存在差异；</w:t>
            </w:r>
          </w:p>
          <w:p w14:paraId="6A388526">
            <w:pPr>
              <w:pStyle w:val="15"/>
              <w:snapToGrid/>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3）方案内容条理基本不清晰或内容不充实；</w:t>
            </w:r>
          </w:p>
          <w:p w14:paraId="252327EB">
            <w:pPr>
              <w:pStyle w:val="15"/>
              <w:snapToGrid/>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4）方案内容语义表述不清，前后矛盾，混乱。</w:t>
            </w:r>
          </w:p>
        </w:tc>
        <w:tc>
          <w:tcPr>
            <w:tcW w:w="1100" w:type="dxa"/>
            <w:vAlign w:val="center"/>
          </w:tcPr>
          <w:p w14:paraId="17E3F9AA">
            <w:pPr>
              <w:pStyle w:val="15"/>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14</w:t>
            </w:r>
          </w:p>
        </w:tc>
      </w:tr>
    </w:tbl>
    <w:p w14:paraId="1BEB7160">
      <w:pPr>
        <w:pStyle w:val="15"/>
        <w:spacing w:line="360" w:lineRule="auto"/>
        <w:ind w:firstLine="562"/>
        <w:rPr>
          <w:rFonts w:hint="eastAsia" w:asciiTheme="minorEastAsia" w:hAnsiTheme="minorEastAsia" w:eastAsiaTheme="minorEastAsia" w:cstheme="minorEastAsia"/>
          <w:b/>
          <w:color w:val="auto"/>
          <w:sz w:val="24"/>
          <w:szCs w:val="24"/>
          <w:highlight w:val="none"/>
        </w:rPr>
      </w:pPr>
    </w:p>
    <w:p w14:paraId="339A27FF">
      <w:pPr>
        <w:pStyle w:val="15"/>
        <w:spacing w:line="360" w:lineRule="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第三部分：价格评分</w:t>
      </w:r>
    </w:p>
    <w:tbl>
      <w:tblPr>
        <w:tblStyle w:val="23"/>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42"/>
        <w:gridCol w:w="7383"/>
        <w:gridCol w:w="1153"/>
      </w:tblGrid>
      <w:tr w14:paraId="0329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6" w:type="dxa"/>
            <w:vAlign w:val="center"/>
          </w:tcPr>
          <w:p w14:paraId="704DEAF8">
            <w:pPr>
              <w:autoSpaceDE w:val="0"/>
              <w:autoSpaceDN w:val="0"/>
              <w:adjustRightInd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序号</w:t>
            </w:r>
          </w:p>
        </w:tc>
        <w:tc>
          <w:tcPr>
            <w:tcW w:w="1242" w:type="dxa"/>
            <w:vAlign w:val="center"/>
          </w:tcPr>
          <w:p w14:paraId="7775CA99">
            <w:pPr>
              <w:autoSpaceDE w:val="0"/>
              <w:autoSpaceDN w:val="0"/>
              <w:adjustRightInd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评审因素</w:t>
            </w:r>
          </w:p>
        </w:tc>
        <w:tc>
          <w:tcPr>
            <w:tcW w:w="7383" w:type="dxa"/>
            <w:vAlign w:val="center"/>
          </w:tcPr>
          <w:p w14:paraId="0E10ED6A">
            <w:pPr>
              <w:autoSpaceDE w:val="0"/>
              <w:autoSpaceDN w:val="0"/>
              <w:adjustRightInd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评分细则</w:t>
            </w:r>
          </w:p>
        </w:tc>
        <w:tc>
          <w:tcPr>
            <w:tcW w:w="1153" w:type="dxa"/>
            <w:vAlign w:val="center"/>
          </w:tcPr>
          <w:p w14:paraId="750CC5E6">
            <w:pPr>
              <w:autoSpaceDE w:val="0"/>
              <w:autoSpaceDN w:val="0"/>
              <w:adjustRightInd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分值</w:t>
            </w:r>
          </w:p>
          <w:p w14:paraId="4CD4B3B9">
            <w:pPr>
              <w:autoSpaceDE w:val="0"/>
              <w:autoSpaceDN w:val="0"/>
              <w:adjustRightInd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w:t>
            </w:r>
            <w:r>
              <w:rPr>
                <w:rFonts w:hint="eastAsia" w:asciiTheme="minorEastAsia" w:hAnsiTheme="minorEastAsia" w:eastAsiaTheme="minorEastAsia" w:cstheme="minorEastAsia"/>
                <w:b/>
                <w:bCs/>
                <w:color w:val="auto"/>
                <w:sz w:val="24"/>
                <w:szCs w:val="24"/>
                <w:highlight w:val="none"/>
              </w:rPr>
              <w:t>10分</w:t>
            </w:r>
            <w:r>
              <w:rPr>
                <w:rFonts w:hint="eastAsia" w:asciiTheme="minorEastAsia" w:hAnsiTheme="minorEastAsia" w:eastAsiaTheme="minorEastAsia" w:cstheme="minorEastAsia"/>
                <w:b/>
                <w:bCs/>
                <w:color w:val="auto"/>
                <w:sz w:val="24"/>
                <w:szCs w:val="24"/>
                <w:highlight w:val="none"/>
                <w:lang w:val="zh-CN"/>
              </w:rPr>
              <w:t>）</w:t>
            </w:r>
          </w:p>
        </w:tc>
      </w:tr>
      <w:tr w14:paraId="388F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66" w:type="dxa"/>
            <w:vAlign w:val="center"/>
          </w:tcPr>
          <w:p w14:paraId="5EAC1801">
            <w:pPr>
              <w:pStyle w:val="15"/>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42" w:type="dxa"/>
            <w:vAlign w:val="center"/>
          </w:tcPr>
          <w:p w14:paraId="68D90B8C">
            <w:pPr>
              <w:autoSpaceDE w:val="0"/>
              <w:autoSpaceDN w:val="0"/>
              <w:adjustRightInd w:val="0"/>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报价</w:t>
            </w:r>
          </w:p>
        </w:tc>
        <w:tc>
          <w:tcPr>
            <w:tcW w:w="7383" w:type="dxa"/>
            <w:vAlign w:val="center"/>
          </w:tcPr>
          <w:p w14:paraId="4C8D8DEA">
            <w:pPr>
              <w:pStyle w:val="15"/>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满足项目要求且最后报价最低的供应商价格为评标基准价，其价格分为满分。其他供应商的价格分统一按照下列公式计算：</w:t>
            </w:r>
          </w:p>
          <w:p w14:paraId="2557A3EC">
            <w:pPr>
              <w:pStyle w:val="15"/>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报价得分=（评标基准价/最后投标报价)×10×100%</w:t>
            </w:r>
            <w:r>
              <w:rPr>
                <w:rFonts w:hint="eastAsia" w:asciiTheme="minorEastAsia" w:hAnsiTheme="minorEastAsia" w:eastAsiaTheme="minorEastAsia" w:cstheme="minorEastAsia"/>
                <w:color w:val="auto"/>
                <w:sz w:val="24"/>
                <w:szCs w:val="24"/>
                <w:highlight w:val="none"/>
                <w:lang w:eastAsia="zh-CN"/>
              </w:rPr>
              <w:t>。</w:t>
            </w:r>
          </w:p>
        </w:tc>
        <w:tc>
          <w:tcPr>
            <w:tcW w:w="1153" w:type="dxa"/>
            <w:vAlign w:val="center"/>
          </w:tcPr>
          <w:p w14:paraId="7198CB87">
            <w:pPr>
              <w:pStyle w:val="15"/>
              <w:spacing w:line="360" w:lineRule="auto"/>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r>
    </w:tbl>
    <w:p w14:paraId="24C2CA54">
      <w:pPr>
        <w:spacing w:line="360" w:lineRule="auto"/>
        <w:rPr>
          <w:rFonts w:hint="eastAsia" w:asciiTheme="minorEastAsia" w:hAnsiTheme="minorEastAsia" w:eastAsiaTheme="minorEastAsia" w:cstheme="minorEastAsia"/>
          <w:sz w:val="24"/>
          <w:szCs w:val="24"/>
        </w:rPr>
      </w:pPr>
    </w:p>
    <w:p w14:paraId="08AF125F">
      <w:pPr>
        <w:keepNext w:val="0"/>
        <w:keepLines w:val="0"/>
        <w:pageBreakBefore w:val="0"/>
        <w:widowControl w:val="0"/>
        <w:kinsoku/>
        <w:wordWrap w:val="0"/>
        <w:overflowPunct/>
        <w:topLinePunct/>
        <w:autoSpaceDE/>
        <w:autoSpaceDN/>
        <w:bidi w:val="0"/>
        <w:spacing w:line="360" w:lineRule="auto"/>
        <w:ind w:firstLine="48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注：招标文件内没有规定的评标标准不得作为评审的依据</w:t>
      </w:r>
    </w:p>
    <w:p w14:paraId="24629B6B">
      <w:pPr>
        <w:keepNext w:val="0"/>
        <w:keepLines w:val="0"/>
        <w:pageBreakBefore w:val="0"/>
        <w:widowControl w:val="0"/>
        <w:kinsoku/>
        <w:wordWrap w:val="0"/>
        <w:overflowPunct/>
        <w:topLinePunct/>
        <w:autoSpaceDE/>
        <w:autoSpaceDN/>
        <w:bidi w:val="0"/>
        <w:spacing w:line="360" w:lineRule="auto"/>
        <w:ind w:firstLine="482"/>
        <w:textAlignment w:val="auto"/>
        <w:rPr>
          <w:rFonts w:ascii="Times New Roman" w:hAnsi="Times New Roman"/>
          <w:b/>
          <w:bCs/>
          <w:color w:val="000000" w:themeColor="text1"/>
          <w:sz w:val="24"/>
          <w:highlight w:val="none"/>
          <w14:textFill>
            <w14:solidFill>
              <w14:schemeClr w14:val="tx1"/>
            </w14:solidFill>
          </w14:textFill>
        </w:rPr>
      </w:pPr>
      <w:r>
        <w:rPr>
          <w:rFonts w:hint="eastAsia" w:ascii="Times New Roman" w:hAnsi="Times New Roman"/>
          <w:b/>
          <w:bCs/>
          <w:color w:val="000000" w:themeColor="text1"/>
          <w:sz w:val="24"/>
          <w:highlight w:val="none"/>
          <w14:textFill>
            <w14:solidFill>
              <w14:schemeClr w14:val="tx1"/>
            </w14:solidFill>
          </w14:textFill>
        </w:rPr>
        <w:br w:type="page"/>
      </w:r>
    </w:p>
    <w:p w14:paraId="33BEFCB0">
      <w:pPr>
        <w:keepNext w:val="0"/>
        <w:keepLines w:val="0"/>
        <w:pageBreakBefore w:val="0"/>
        <w:widowControl w:val="0"/>
        <w:tabs>
          <w:tab w:val="left" w:pos="2070"/>
          <w:tab w:val="center" w:pos="4365"/>
        </w:tabs>
        <w:kinsoku/>
        <w:overflowPunct/>
        <w:bidi w:val="0"/>
        <w:adjustRightInd w:val="0"/>
        <w:snapToGrid w:val="0"/>
        <w:spacing w:line="360" w:lineRule="auto"/>
        <w:ind w:firstLine="643"/>
        <w:jc w:val="center"/>
        <w:outlineLvl w:val="0"/>
        <w:rPr>
          <w:rFonts w:ascii="Times New Roman" w:hAnsi="Times New Roman"/>
          <w:b/>
          <w:color w:val="000000" w:themeColor="text1"/>
          <w:kern w:val="0"/>
          <w:sz w:val="32"/>
          <w:szCs w:val="32"/>
          <w:highlight w:val="none"/>
          <w14:textFill>
            <w14:solidFill>
              <w14:schemeClr w14:val="tx1"/>
            </w14:solidFill>
          </w14:textFill>
        </w:rPr>
      </w:pPr>
      <w:bookmarkStart w:id="46" w:name="_Toc180347469"/>
      <w:r>
        <w:rPr>
          <w:rFonts w:hint="eastAsia" w:ascii="Times New Roman" w:hAnsi="Times New Roman"/>
          <w:b/>
          <w:color w:val="000000" w:themeColor="text1"/>
          <w:kern w:val="0"/>
          <w:sz w:val="32"/>
          <w:szCs w:val="32"/>
          <w:highlight w:val="none"/>
          <w14:textFill>
            <w14:solidFill>
              <w14:schemeClr w14:val="tx1"/>
            </w14:solidFill>
          </w14:textFill>
        </w:rPr>
        <w:t>第五部分</w:t>
      </w:r>
      <w:r>
        <w:rPr>
          <w:rFonts w:ascii="Times New Roman" w:hAnsi="Times New Roman"/>
          <w:b/>
          <w:color w:val="000000" w:themeColor="text1"/>
          <w:kern w:val="0"/>
          <w:sz w:val="32"/>
          <w:szCs w:val="32"/>
          <w:highlight w:val="none"/>
          <w14:textFill>
            <w14:solidFill>
              <w14:schemeClr w14:val="tx1"/>
            </w14:solidFill>
          </w14:textFill>
        </w:rPr>
        <w:t xml:space="preserve">  </w:t>
      </w:r>
      <w:r>
        <w:rPr>
          <w:rFonts w:hint="eastAsia" w:ascii="Times New Roman" w:hAnsi="Times New Roman"/>
          <w:b/>
          <w:color w:val="000000" w:themeColor="text1"/>
          <w:kern w:val="0"/>
          <w:sz w:val="32"/>
          <w:szCs w:val="32"/>
          <w:highlight w:val="none"/>
          <w14:textFill>
            <w14:solidFill>
              <w14:schemeClr w14:val="tx1"/>
            </w14:solidFill>
          </w14:textFill>
        </w:rPr>
        <w:t>商务、技术要求</w:t>
      </w:r>
      <w:bookmarkEnd w:id="46"/>
    </w:p>
    <w:p w14:paraId="7D484717">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一、商务要求</w:t>
      </w:r>
    </w:p>
    <w:p w14:paraId="172F8F65">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1.执行标准：符合国家、行业、地方政府有关法律法规及技术规范要求。</w:t>
      </w:r>
    </w:p>
    <w:p w14:paraId="52D52477">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2.合同履约期限：一年，以双方签订的合同约定时间为准。</w:t>
      </w:r>
    </w:p>
    <w:p w14:paraId="50A886DF">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3.服务地点：太原市医疗保障局指定地点。</w:t>
      </w:r>
    </w:p>
    <w:p w14:paraId="66BAD363">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4.款项支付：</w:t>
      </w:r>
    </w:p>
    <w:p w14:paraId="70C5EDB9">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（1）首次付款</w:t>
      </w:r>
    </w:p>
    <w:p w14:paraId="1A8FAC1C">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合同签订后，DRG付费系统正常运行，并完成月度结算工作，经采购人验收后，采购人支付供应商合同总额的40%款项；否则，在扣除相应违约金后，支付剩余款项。</w:t>
      </w:r>
    </w:p>
    <w:p w14:paraId="32BDEE71">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（2）二次付款</w:t>
      </w:r>
    </w:p>
    <w:p w14:paraId="0AFD9DFF">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供应商按合同要求提供持续服务，出具半年度项目运行报告，经采购人确认合格后（无重大问题发生），支付合同总额的40%款项；否则，在扣除相应违约金后，支付剩余款项。</w:t>
      </w:r>
    </w:p>
    <w:p w14:paraId="2CDE7B3E">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（3）末次付款</w:t>
      </w:r>
    </w:p>
    <w:p w14:paraId="11CC92EC">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供应商按合同要求提供持续服务，出具年度项目运行报告，经采购人验收合格后，支付合同剩余的20%款项；否则，在扣除相应违约金后，支付剩余款项。</w:t>
      </w:r>
    </w:p>
    <w:p w14:paraId="104CF3BF">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以上各环节，供应商同步开具相应金额专用发票后十个工作日内，经采购人确认方可予以支付。</w:t>
      </w:r>
    </w:p>
    <w:p w14:paraId="6C37FB44">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5.履约保证金：本项目不收取履约保证金。</w:t>
      </w:r>
    </w:p>
    <w:p w14:paraId="71336CD1">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6.验收标准：</w:t>
      </w:r>
    </w:p>
    <w:p w14:paraId="23887C25">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采购人自行组织或委托第三方机构邀请相关行业技术专家按照本项目招标文件、响应文件、合同文本进行验收。验收结束后，填写“合同履约情况验收报告”，并由验收双方共同签署。</w:t>
      </w:r>
    </w:p>
    <w:p w14:paraId="0808D48F">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7.其他要求：如因国家政策调整等不可抗力因素造成项目终止，在采购人与供应商双方协商一致的基础上可无责解除合同。</w:t>
      </w:r>
    </w:p>
    <w:p w14:paraId="4C7A9BF8">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623EB56B">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二、服务技术要求</w:t>
      </w:r>
    </w:p>
    <w:p w14:paraId="4746B454">
      <w:pPr>
        <w:keepNext w:val="0"/>
        <w:keepLines w:val="0"/>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贯彻落实《关于印发按病组和病种分值付费2.0版分组方案并深入推进相关工作的通知》（医保办发〔2024〕9号）、《关于下发2024年度全省DRG付费统一分组方案（CHS-DRG-SX2024）的通知》（晋医保办发〔2024〕10号）、《关于印发山西省DRG付费结算清算服务流程（试行）的通知》（晋医保办函〔2024〕29号）、《关于做好2025年医保支付方式改革有关工作的通知》（晋医保办发〔2025〕2号）等文件精神与工作要求，太原市医疗保障局根据《关于加快推进太原市医保支付方式改革工作的通知》（并医保发〔2023〕6号）等文件内容，为进一步深化太原市医保支付方式改革工作，</w:t>
      </w:r>
      <w:r>
        <w:rPr>
          <w:rFonts w:hint="eastAsia" w:asciiTheme="minorEastAsia" w:hAnsiTheme="minorEastAsia" w:eastAsiaTheme="minorEastAsia" w:cstheme="minorEastAsia"/>
          <w:color w:val="auto"/>
          <w:sz w:val="24"/>
          <w:szCs w:val="24"/>
          <w:highlight w:val="none"/>
          <w:lang w:val="en-US" w:eastAsia="zh-CN"/>
        </w:rPr>
        <w:t>成交供应商通过</w:t>
      </w:r>
      <w:r>
        <w:rPr>
          <w:rFonts w:hint="eastAsia" w:asciiTheme="minorEastAsia" w:hAnsiTheme="minorEastAsia" w:eastAsiaTheme="minorEastAsia" w:cstheme="minorEastAsia"/>
          <w:color w:val="auto"/>
          <w:sz w:val="24"/>
          <w:szCs w:val="24"/>
          <w:highlight w:val="none"/>
        </w:rPr>
        <w:t>开展技术支持及经办服务，按照国家、省、市的相关要求，结合太原市医保实际情况，构建形成具备太原特色、适合太原参保患者特点、符合太原医疗技术水平的多元复合</w:t>
      </w:r>
      <w:r>
        <w:rPr>
          <w:rFonts w:hint="eastAsia" w:asciiTheme="minorEastAsia" w:hAnsiTheme="minorEastAsia" w:eastAsiaTheme="minorEastAsia" w:cstheme="minorEastAsia"/>
          <w:color w:val="auto"/>
          <w:sz w:val="24"/>
          <w:szCs w:val="24"/>
          <w:highlight w:val="none"/>
          <w:lang w:val="en-US" w:eastAsia="zh-CN"/>
        </w:rPr>
        <w:t>型支付方式</w:t>
      </w:r>
      <w:r>
        <w:rPr>
          <w:rFonts w:hint="eastAsia" w:asciiTheme="minorEastAsia" w:hAnsiTheme="minorEastAsia" w:eastAsiaTheme="minorEastAsia" w:cstheme="minorEastAsia"/>
          <w:color w:val="auto"/>
          <w:sz w:val="24"/>
          <w:szCs w:val="24"/>
          <w:highlight w:val="none"/>
        </w:rPr>
        <w:t>，提高医保基金的使用效率，</w:t>
      </w:r>
      <w:r>
        <w:rPr>
          <w:rFonts w:hint="eastAsia" w:asciiTheme="minorEastAsia" w:hAnsiTheme="minorEastAsia" w:eastAsiaTheme="minorEastAsia" w:cstheme="minorEastAsia"/>
          <w:color w:val="auto"/>
          <w:sz w:val="24"/>
          <w:szCs w:val="24"/>
          <w:highlight w:val="none"/>
          <w:lang w:val="en-US" w:eastAsia="zh-CN"/>
        </w:rPr>
        <w:t>推进</w:t>
      </w:r>
      <w:r>
        <w:rPr>
          <w:rFonts w:hint="eastAsia" w:asciiTheme="minorEastAsia" w:hAnsiTheme="minorEastAsia" w:eastAsiaTheme="minorEastAsia" w:cstheme="minorEastAsia"/>
          <w:color w:val="auto"/>
          <w:sz w:val="24"/>
          <w:szCs w:val="24"/>
          <w:highlight w:val="none"/>
        </w:rPr>
        <w:t>太原市支付方式改革精细化纵深发展。</w:t>
      </w:r>
    </w:p>
    <w:p w14:paraId="17009BAF">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项目总体要求</w:t>
      </w:r>
    </w:p>
    <w:p w14:paraId="651EF6A5">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项目工作背景</w:t>
      </w:r>
    </w:p>
    <w:p w14:paraId="3B0C85CE">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太原市医保</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改革已取得</w:t>
      </w:r>
      <w:r>
        <w:rPr>
          <w:rFonts w:hint="eastAsia" w:asciiTheme="minorEastAsia" w:hAnsiTheme="minorEastAsia" w:eastAsiaTheme="minorEastAsia" w:cstheme="minorEastAsia"/>
          <w:color w:val="auto"/>
          <w:sz w:val="24"/>
          <w:szCs w:val="24"/>
          <w:highlight w:val="none"/>
          <w:lang w:val="en-US" w:eastAsia="zh-CN"/>
        </w:rPr>
        <w:t>初步</w:t>
      </w:r>
      <w:r>
        <w:rPr>
          <w:rFonts w:hint="eastAsia" w:asciiTheme="minorEastAsia" w:hAnsiTheme="minorEastAsia" w:eastAsiaTheme="minorEastAsia" w:cstheme="minorEastAsia"/>
          <w:color w:val="auto"/>
          <w:sz w:val="24"/>
          <w:szCs w:val="24"/>
          <w:highlight w:val="none"/>
        </w:rPr>
        <w:t>成效，</w:t>
      </w:r>
      <w:r>
        <w:rPr>
          <w:rFonts w:hint="eastAsia" w:asciiTheme="minorEastAsia" w:hAnsiTheme="minorEastAsia" w:eastAsiaTheme="minorEastAsia" w:cstheme="minorEastAsia"/>
          <w:color w:val="auto"/>
          <w:sz w:val="24"/>
          <w:szCs w:val="24"/>
          <w:highlight w:val="none"/>
          <w:lang w:val="en-US" w:eastAsia="zh-CN"/>
        </w:rPr>
        <w:t>纳入DRG付费的医疗机构住院次均费用、平均住院日、平均药耗占比等指标均有效降低，并</w:t>
      </w:r>
      <w:r>
        <w:rPr>
          <w:rFonts w:hint="eastAsia" w:asciiTheme="minorEastAsia" w:hAnsiTheme="minorEastAsia" w:eastAsiaTheme="minorEastAsia" w:cstheme="minorEastAsia"/>
          <w:color w:val="auto"/>
          <w:sz w:val="24"/>
          <w:szCs w:val="24"/>
          <w:highlight w:val="none"/>
        </w:rPr>
        <w:t>建立了包括特例单议、协商谈判、预付金、意见收集和数据工作组在内的</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项付费改革配套机制，有效保障了复杂危重病例的充分治疗和新药新技术的合理应用。</w:t>
      </w:r>
      <w:r>
        <w:rPr>
          <w:rFonts w:hint="eastAsia" w:asciiTheme="minorEastAsia" w:hAnsiTheme="minorEastAsia" w:eastAsiaTheme="minorEastAsia" w:cstheme="minorEastAsia"/>
          <w:color w:val="auto"/>
          <w:kern w:val="2"/>
          <w:sz w:val="24"/>
          <w:szCs w:val="24"/>
          <w:highlight w:val="none"/>
          <w:lang w:val="en-US" w:eastAsia="zh-CN" w:bidi="ar-SA"/>
        </w:rPr>
        <w:t>国家医保DRG付费模块已构建了较为完善的系统功能体系，全面覆盖医疗机构管理、支付方式配置与查询、数据质量控制（包括质控规则维护、结果及规则查询、区县质控结果查询等）、质控方案管理（含方案查询与同步）、DRG付费方式管理（涵盖分组管理、标准与地方分组方案查询及同步、分组结果查询等）、地方支付方案维护（如付费标准设定与查询）、医疗机构月度结算（包括计算配置管理、参数维护、基金计算、结果提交与审核等）、医疗机构费用清算（涉及清算基金计算、结果提交与审核、点数计算、信息核定等全流程）、经办医疗机构月度结算（含经办基金计算、支付结果提交与审核）、预算管理、付费标准组管理（包括维护与查询）以及接口服务（提供分组付费中心服务、事前事后质控服务、质控归档服务、DRG分组服务、付费计算、特病单议退出服务等），实现了从支付配置、质量控制到结算清算的全流程信息化管理，为医保DRG付费方式改革提供了有力的系统支撑。</w:t>
      </w:r>
    </w:p>
    <w:p w14:paraId="5CD7A6C2">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项目工作目标</w:t>
      </w:r>
    </w:p>
    <w:p w14:paraId="121EFFD8">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方式改革为核心驱动，构建标准化、智能化、高效协同的医保支付管理体系，推动我市医保支付系统全面接入省级平台，实现太原市现有</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方式管理系统向国家统一系统切换、业务经办流程统一化、数据治理规范化、支付标准科学化。通过系统迁移、技术支撑与日常经办服务的深度整合，促进医保基金精细化管理与合理使用，提升医疗服务质量与成本控制效能，助力医保支付方式改革政策平稳落地，形成可复制、可推广的DRG付费本地化实践经验，为深化医疗保障制度改革提供有力支撑。</w:t>
      </w:r>
    </w:p>
    <w:p w14:paraId="62E61908">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基于DRG系统切换、支付改革技术支撑及日常经办辅助三大服务板块，重点实现以下目标：一是完成本地DRG系统向省级平台的无缝切换，通过需求梳理、政策参数配置与功能测试，确保切换后系统业务流程流畅、支付参数精准合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二是构建全链条技术支撑体系，依托历史数据治理、分组动态调优、支付标准测算及政策辅助优化，形成适配本地实际的DRG分组方案与支付规则，保障基金分配公平合理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三是建立常态化DRG经办服务机制，通过数据质控、病例审核、基金结算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运行分析</w:t>
      </w:r>
      <w:r>
        <w:rPr>
          <w:rFonts w:hint="eastAsia" w:asciiTheme="minorEastAsia" w:hAnsiTheme="minorEastAsia" w:eastAsiaTheme="minorEastAsia" w:cstheme="minorEastAsia"/>
          <w:color w:val="auto"/>
          <w:sz w:val="24"/>
          <w:szCs w:val="24"/>
          <w:highlight w:val="none"/>
          <w:lang w:val="en-US" w:eastAsia="zh-CN"/>
        </w:rPr>
        <w:t>及业务培训</w:t>
      </w:r>
      <w:r>
        <w:rPr>
          <w:rFonts w:hint="eastAsia" w:asciiTheme="minorEastAsia" w:hAnsiTheme="minorEastAsia" w:eastAsiaTheme="minorEastAsia" w:cstheme="minorEastAsia"/>
          <w:color w:val="auto"/>
          <w:sz w:val="24"/>
          <w:szCs w:val="24"/>
          <w:highlight w:val="none"/>
        </w:rPr>
        <w:t>等日常辅助服务，提升医保与医疗机构协同效率，并</w:t>
      </w:r>
      <w:r>
        <w:rPr>
          <w:rFonts w:hint="eastAsia" w:asciiTheme="minorEastAsia" w:hAnsiTheme="minorEastAsia" w:eastAsiaTheme="minorEastAsia" w:cstheme="minorEastAsia"/>
          <w:color w:val="auto"/>
          <w:sz w:val="24"/>
          <w:szCs w:val="24"/>
          <w:highlight w:val="none"/>
          <w:lang w:val="en-US" w:eastAsia="zh-CN"/>
        </w:rPr>
        <w:t>协助医保经办机构发挥好DRG付费特例单议、数据工作组、协商谈判、预付金、意见收集等配套工作机制作用，</w:t>
      </w:r>
      <w:r>
        <w:rPr>
          <w:rFonts w:hint="eastAsia" w:asciiTheme="minorEastAsia" w:hAnsiTheme="minorEastAsia" w:eastAsiaTheme="minorEastAsia" w:cstheme="minorEastAsia"/>
          <w:color w:val="auto"/>
          <w:sz w:val="24"/>
          <w:szCs w:val="24"/>
          <w:highlight w:val="none"/>
        </w:rPr>
        <w:t>为DRG付费改革长效运行提供可持续保障</w:t>
      </w:r>
      <w:r>
        <w:rPr>
          <w:rFonts w:hint="eastAsia" w:asciiTheme="minorEastAsia" w:hAnsiTheme="minorEastAsia" w:eastAsiaTheme="minorEastAsia" w:cstheme="minorEastAsia"/>
          <w:color w:val="auto"/>
          <w:sz w:val="24"/>
          <w:szCs w:val="24"/>
          <w:highlight w:val="none"/>
          <w:lang w:eastAsia="zh-CN"/>
        </w:rPr>
        <w:t>。</w:t>
      </w:r>
    </w:p>
    <w:p w14:paraId="719AA1DA">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基于以DRG付费方式为主的多元复合型支付体系构建，协助医保部门进一步扩大预付制覆盖范围，推动建立更为立体和管用高效的多元化支付体系。</w:t>
      </w:r>
    </w:p>
    <w:p w14:paraId="744693B0">
      <w:pPr>
        <w:pStyle w:val="10"/>
        <w:pageBreakBefore w:val="0"/>
        <w:widowControl w:val="0"/>
        <w:kinsoku/>
        <w:wordWrap/>
        <w:overflowPunct/>
        <w:autoSpaceDE/>
        <w:autoSpaceDN/>
        <w:bidi w:val="0"/>
        <w:adjustRightInd/>
        <w:snapToGrid/>
        <w:spacing w:after="0" w:line="360" w:lineRule="auto"/>
        <w:ind w:left="0" w:leftChars="0" w:right="0" w:rightChars="0"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项目实施要求</w:t>
      </w:r>
    </w:p>
    <w:p w14:paraId="418C6261">
      <w:pPr>
        <w:pStyle w:val="30"/>
        <w:pageBreakBefore w:val="0"/>
        <w:widowControl w:val="0"/>
        <w:kinsoku/>
        <w:wordWrap/>
        <w:overflowPunct/>
        <w:autoSpaceDE/>
        <w:autoSpaceDN/>
        <w:bidi w:val="0"/>
        <w:adjustRightInd/>
        <w:snapToGrid/>
        <w:spacing w:line="360" w:lineRule="auto"/>
        <w:ind w:left="0" w:leftChars="0" w:right="0" w:rightChars="0" w:firstLine="482" w:firstLineChars="200"/>
        <w:textAlignment w:val="auto"/>
        <w:outlineLvl w:val="2"/>
        <w:rPr>
          <w:rFonts w:hint="eastAsia" w:asciiTheme="minorEastAsia" w:hAnsiTheme="minorEastAsia" w:eastAsiaTheme="minorEastAsia" w:cstheme="minorEastAsia"/>
          <w:color w:val="auto"/>
          <w:sz w:val="24"/>
          <w:szCs w:val="24"/>
          <w:highlight w:val="none"/>
          <w:vertAlign w:val="superscript"/>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基础能力要求</w:t>
      </w:r>
    </w:p>
    <w:p w14:paraId="0B5BBB8B">
      <w:pPr>
        <w:pStyle w:val="30"/>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供应商应具备</w:t>
      </w:r>
      <w:r>
        <w:rPr>
          <w:rFonts w:hint="eastAsia" w:asciiTheme="minorEastAsia" w:hAnsiTheme="minorEastAsia" w:eastAsiaTheme="minorEastAsia" w:cstheme="minorEastAsia"/>
          <w:bCs/>
          <w:color w:val="auto"/>
          <w:sz w:val="24"/>
          <w:szCs w:val="24"/>
          <w:highlight w:val="none"/>
        </w:rPr>
        <w:t>承接本项目的专业技术及服务能力，</w:t>
      </w:r>
      <w:r>
        <w:rPr>
          <w:rFonts w:hint="eastAsia" w:asciiTheme="minorEastAsia" w:hAnsiTheme="minorEastAsia" w:eastAsiaTheme="minorEastAsia" w:cstheme="minorEastAsia"/>
          <w:color w:val="auto"/>
          <w:sz w:val="24"/>
          <w:szCs w:val="24"/>
          <w:highlight w:val="none"/>
        </w:rPr>
        <w:t>确保各项服务工作有效落地实施，提供满足本项目总体服务要求的专业技术团队。</w:t>
      </w:r>
    </w:p>
    <w:p w14:paraId="37D0BB2C">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Style w:val="55"/>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1）</w:t>
      </w:r>
      <w:r>
        <w:rPr>
          <w:rStyle w:val="55"/>
          <w:rFonts w:hint="eastAsia" w:asciiTheme="minorEastAsia" w:hAnsiTheme="minorEastAsia" w:eastAsiaTheme="minorEastAsia" w:cstheme="minorEastAsia"/>
          <w:color w:val="auto"/>
          <w:kern w:val="0"/>
          <w:sz w:val="24"/>
          <w:szCs w:val="24"/>
          <w:highlight w:val="none"/>
        </w:rPr>
        <w:t>应组建不少于5人（含）的专业服务团队提供本地驻场服务，包括项目负责人1名，服务人员4名。</w:t>
      </w:r>
    </w:p>
    <w:p w14:paraId="4947FD69">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Style w:val="55"/>
          <w:rFonts w:hint="eastAsia" w:asciiTheme="minorEastAsia" w:hAnsiTheme="minorEastAsia" w:eastAsiaTheme="minorEastAsia" w:cstheme="minorEastAsia"/>
          <w:color w:val="auto"/>
          <w:kern w:val="0"/>
          <w:sz w:val="24"/>
          <w:szCs w:val="24"/>
          <w:highlight w:val="none"/>
        </w:rPr>
      </w:pPr>
      <w:r>
        <w:rPr>
          <w:rStyle w:val="55"/>
          <w:rFonts w:hint="eastAsia" w:asciiTheme="minorEastAsia" w:hAnsiTheme="minorEastAsia" w:eastAsiaTheme="minorEastAsia" w:cstheme="minorEastAsia"/>
          <w:color w:val="auto"/>
          <w:kern w:val="0"/>
          <w:sz w:val="24"/>
          <w:szCs w:val="24"/>
          <w:highlight w:val="none"/>
        </w:rPr>
        <w:t>（</w:t>
      </w:r>
      <w:r>
        <w:rPr>
          <w:rStyle w:val="55"/>
          <w:rFonts w:hint="eastAsia" w:asciiTheme="minorEastAsia" w:hAnsiTheme="minorEastAsia" w:eastAsiaTheme="minorEastAsia" w:cstheme="minorEastAsia"/>
          <w:color w:val="auto"/>
          <w:kern w:val="0"/>
          <w:sz w:val="24"/>
          <w:szCs w:val="24"/>
          <w:highlight w:val="none"/>
          <w:lang w:val="en-US"/>
        </w:rPr>
        <w:t>1.</w:t>
      </w:r>
      <w:r>
        <w:rPr>
          <w:rStyle w:val="55"/>
          <w:rFonts w:hint="eastAsia" w:asciiTheme="minorEastAsia" w:hAnsiTheme="minorEastAsia" w:eastAsiaTheme="minorEastAsia" w:cstheme="minorEastAsia"/>
          <w:color w:val="auto"/>
          <w:kern w:val="0"/>
          <w:sz w:val="24"/>
          <w:szCs w:val="24"/>
          <w:highlight w:val="none"/>
        </w:rPr>
        <w:t>2）项目负责人应具备大学本科及以上学历（</w:t>
      </w:r>
      <w:r>
        <w:rPr>
          <w:rStyle w:val="55"/>
          <w:rFonts w:hint="eastAsia" w:asciiTheme="minorEastAsia" w:hAnsiTheme="minorEastAsia" w:eastAsiaTheme="minorEastAsia" w:cstheme="minorEastAsia"/>
          <w:color w:val="auto"/>
          <w:kern w:val="0"/>
          <w:sz w:val="24"/>
          <w:szCs w:val="24"/>
          <w:highlight w:val="none"/>
          <w:lang w:val="en-US"/>
        </w:rPr>
        <w:t>投标文件中提供证明材料</w:t>
      </w:r>
      <w:r>
        <w:rPr>
          <w:rStyle w:val="55"/>
          <w:rFonts w:hint="eastAsia" w:asciiTheme="minorEastAsia" w:hAnsiTheme="minorEastAsia" w:eastAsiaTheme="minorEastAsia" w:cstheme="minorEastAsia"/>
          <w:color w:val="auto"/>
          <w:kern w:val="0"/>
          <w:sz w:val="24"/>
          <w:szCs w:val="24"/>
          <w:highlight w:val="none"/>
        </w:rPr>
        <w:t>），具备丰富的项目管理或相关项目经验。</w:t>
      </w:r>
    </w:p>
    <w:p w14:paraId="252C2235">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Style w:val="55"/>
          <w:rFonts w:hint="eastAsia" w:asciiTheme="minorEastAsia" w:hAnsiTheme="minorEastAsia" w:eastAsiaTheme="minorEastAsia" w:cstheme="minorEastAsia"/>
          <w:color w:val="auto"/>
          <w:kern w:val="0"/>
          <w:sz w:val="24"/>
          <w:szCs w:val="24"/>
          <w:highlight w:val="none"/>
          <w:vertAlign w:val="superscript"/>
        </w:rPr>
      </w:pPr>
      <w:r>
        <w:rPr>
          <w:rStyle w:val="55"/>
          <w:rFonts w:hint="eastAsia" w:asciiTheme="minorEastAsia" w:hAnsiTheme="minorEastAsia" w:eastAsiaTheme="minorEastAsia" w:cstheme="minorEastAsia"/>
          <w:color w:val="auto"/>
          <w:kern w:val="0"/>
          <w:sz w:val="24"/>
          <w:szCs w:val="24"/>
          <w:highlight w:val="none"/>
        </w:rPr>
        <w:t>（</w:t>
      </w:r>
      <w:r>
        <w:rPr>
          <w:rStyle w:val="55"/>
          <w:rFonts w:hint="eastAsia" w:asciiTheme="minorEastAsia" w:hAnsiTheme="minorEastAsia" w:eastAsiaTheme="minorEastAsia" w:cstheme="minorEastAsia"/>
          <w:color w:val="auto"/>
          <w:kern w:val="0"/>
          <w:sz w:val="24"/>
          <w:szCs w:val="24"/>
          <w:highlight w:val="none"/>
          <w:lang w:val="en-US"/>
        </w:rPr>
        <w:t>1.</w:t>
      </w:r>
      <w:r>
        <w:rPr>
          <w:rStyle w:val="55"/>
          <w:rFonts w:hint="eastAsia" w:asciiTheme="minorEastAsia" w:hAnsiTheme="minorEastAsia" w:eastAsiaTheme="minorEastAsia" w:cstheme="minorEastAsia"/>
          <w:color w:val="auto"/>
          <w:kern w:val="0"/>
          <w:sz w:val="24"/>
          <w:szCs w:val="24"/>
          <w:highlight w:val="none"/>
        </w:rPr>
        <w:t>3）专业服务人员均应具备大学本科及以上学历（</w:t>
      </w:r>
      <w:r>
        <w:rPr>
          <w:rStyle w:val="55"/>
          <w:rFonts w:hint="eastAsia" w:asciiTheme="minorEastAsia" w:hAnsiTheme="minorEastAsia" w:eastAsiaTheme="minorEastAsia" w:cstheme="minorEastAsia"/>
          <w:color w:val="auto"/>
          <w:kern w:val="0"/>
          <w:sz w:val="24"/>
          <w:szCs w:val="24"/>
          <w:highlight w:val="none"/>
          <w:lang w:val="en-US"/>
        </w:rPr>
        <w:t>投标文件中提供证明材料</w:t>
      </w:r>
      <w:r>
        <w:rPr>
          <w:rStyle w:val="55"/>
          <w:rFonts w:hint="eastAsia" w:asciiTheme="minorEastAsia" w:hAnsiTheme="minorEastAsia" w:eastAsiaTheme="minorEastAsia" w:cstheme="minorEastAsia"/>
          <w:color w:val="auto"/>
          <w:kern w:val="0"/>
          <w:sz w:val="24"/>
          <w:szCs w:val="24"/>
          <w:highlight w:val="none"/>
        </w:rPr>
        <w:t>），能够满足数据质控、信息统计等服务要求。</w:t>
      </w:r>
    </w:p>
    <w:p w14:paraId="4DA70C06">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Style w:val="55"/>
          <w:rFonts w:hint="eastAsia" w:asciiTheme="minorEastAsia" w:hAnsiTheme="minorEastAsia" w:eastAsiaTheme="minorEastAsia" w:cstheme="minorEastAsia"/>
          <w:color w:val="auto"/>
          <w:kern w:val="0"/>
          <w:sz w:val="24"/>
          <w:szCs w:val="24"/>
          <w:highlight w:val="none"/>
        </w:rPr>
      </w:pPr>
      <w:r>
        <w:rPr>
          <w:rStyle w:val="55"/>
          <w:rFonts w:hint="eastAsia" w:asciiTheme="minorEastAsia" w:hAnsiTheme="minorEastAsia" w:eastAsiaTheme="minorEastAsia" w:cstheme="minorEastAsia"/>
          <w:color w:val="auto"/>
          <w:kern w:val="0"/>
          <w:sz w:val="24"/>
          <w:szCs w:val="24"/>
          <w:highlight w:val="none"/>
        </w:rPr>
        <w:t>（</w:t>
      </w:r>
      <w:r>
        <w:rPr>
          <w:rStyle w:val="55"/>
          <w:rFonts w:hint="eastAsia" w:asciiTheme="minorEastAsia" w:hAnsiTheme="minorEastAsia" w:eastAsiaTheme="minorEastAsia" w:cstheme="minorEastAsia"/>
          <w:color w:val="auto"/>
          <w:kern w:val="0"/>
          <w:sz w:val="24"/>
          <w:szCs w:val="24"/>
          <w:highlight w:val="none"/>
          <w:lang w:val="en-US"/>
        </w:rPr>
        <w:t>1.</w:t>
      </w:r>
      <w:r>
        <w:rPr>
          <w:rStyle w:val="55"/>
          <w:rFonts w:hint="eastAsia" w:asciiTheme="minorEastAsia" w:hAnsiTheme="minorEastAsia" w:eastAsiaTheme="minorEastAsia" w:cstheme="minorEastAsia"/>
          <w:color w:val="auto"/>
          <w:kern w:val="0"/>
          <w:sz w:val="24"/>
          <w:szCs w:val="24"/>
          <w:highlight w:val="none"/>
        </w:rPr>
        <w:t>4）所有参与项目服务的人员必须按时到位并保持稳定，如因特殊情况发生人员变更，需将变更人员及其对工作的影响情况以书面的形式报告采购人。</w:t>
      </w:r>
    </w:p>
    <w:p w14:paraId="35B66AC4">
      <w:pPr>
        <w:pageBreakBefore w:val="0"/>
        <w:widowControl w:val="0"/>
        <w:kinsoku/>
        <w:wordWrap/>
        <w:overflowPunct/>
        <w:topLinePunct/>
        <w:autoSpaceDE/>
        <w:autoSpaceDN/>
        <w:bidi w:val="0"/>
        <w:adjustRightInd/>
        <w:snapToGrid/>
        <w:spacing w:line="36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实施方案要求</w:t>
      </w:r>
    </w:p>
    <w:p w14:paraId="7A4DE621">
      <w:pPr>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供应商应基于前述工作背景及设计方案内容，</w:t>
      </w:r>
      <w:r>
        <w:rPr>
          <w:rFonts w:hint="eastAsia" w:asciiTheme="minorEastAsia" w:hAnsiTheme="minorEastAsia" w:eastAsiaTheme="minorEastAsia" w:cstheme="minorEastAsia"/>
          <w:color w:val="auto"/>
          <w:sz w:val="24"/>
          <w:szCs w:val="24"/>
          <w:highlight w:val="none"/>
        </w:rPr>
        <w:t>提供详细、完善、可行性强的落地实施方案，实施方案应包括实施计划、资源配置、进度管控、质量保证，确保各项工作能够按计划有效落地执行。</w:t>
      </w:r>
    </w:p>
    <w:p w14:paraId="7FD36BDA">
      <w:pPr>
        <w:pStyle w:val="10"/>
        <w:pageBreakBefore w:val="0"/>
        <w:widowControl w:val="0"/>
        <w:kinsoku/>
        <w:wordWrap/>
        <w:overflowPunct/>
        <w:autoSpaceDE/>
        <w:autoSpaceDN/>
        <w:bidi w:val="0"/>
        <w:adjustRightInd/>
        <w:snapToGrid/>
        <w:spacing w:after="0" w:line="360" w:lineRule="auto"/>
        <w:ind w:left="0" w:leftChars="0" w:right="0" w:rightChars="0"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项目服务要求</w:t>
      </w:r>
    </w:p>
    <w:p w14:paraId="0871EAD3">
      <w:pPr>
        <w:pStyle w:val="1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根据本项目的技术服务要求，分类提供包含以下</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部分的具体服务：</w:t>
      </w:r>
    </w:p>
    <w:p w14:paraId="6CDFF08E">
      <w:pPr>
        <w:pStyle w:val="1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提供DRG系统切换服务，完成</w:t>
      </w:r>
      <w:r>
        <w:rPr>
          <w:rFonts w:hint="eastAsia" w:asciiTheme="minorEastAsia" w:hAnsiTheme="minorEastAsia" w:eastAsiaTheme="minorEastAsia" w:cstheme="minorEastAsia"/>
          <w:color w:val="auto"/>
          <w:sz w:val="24"/>
          <w:szCs w:val="24"/>
          <w:highlight w:val="none"/>
          <w:lang w:val="en-US" w:eastAsia="zh-CN"/>
        </w:rPr>
        <w:t>太原市</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系统向省平台切换工作，</w:t>
      </w:r>
      <w:r>
        <w:rPr>
          <w:rFonts w:hint="eastAsia" w:asciiTheme="minorEastAsia" w:hAnsiTheme="minorEastAsia" w:eastAsiaTheme="minorEastAsia" w:cstheme="minorEastAsia"/>
          <w:color w:val="auto"/>
          <w:sz w:val="24"/>
          <w:szCs w:val="24"/>
          <w:highlight w:val="none"/>
          <w:lang w:val="en-US" w:eastAsia="zh-CN"/>
        </w:rPr>
        <w:t>并做好历史数据迁移工作，</w:t>
      </w:r>
      <w:r>
        <w:rPr>
          <w:rFonts w:hint="eastAsia" w:asciiTheme="minorEastAsia" w:hAnsiTheme="minorEastAsia" w:eastAsiaTheme="minorEastAsia" w:cstheme="minorEastAsia"/>
          <w:color w:val="auto"/>
          <w:sz w:val="24"/>
          <w:szCs w:val="24"/>
          <w:highlight w:val="none"/>
        </w:rPr>
        <w:t>采用国家</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方式管理模块开展</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相关经办业务。</w:t>
      </w:r>
    </w:p>
    <w:p w14:paraId="2C34CD17">
      <w:pPr>
        <w:pStyle w:val="1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提供支付改革技术支撑服务</w:t>
      </w:r>
      <w:r>
        <w:rPr>
          <w:rFonts w:hint="eastAsia" w:asciiTheme="minorEastAsia" w:hAnsiTheme="minorEastAsia" w:eastAsiaTheme="minorEastAsia" w:cstheme="minorEastAsia"/>
          <w:color w:val="auto"/>
          <w:sz w:val="24"/>
          <w:szCs w:val="24"/>
          <w:highlight w:val="none"/>
          <w:lang w:val="en-US" w:eastAsia="zh-CN"/>
        </w:rPr>
        <w:t>，协助完善DRG付费改革规划设计，推动DRG分组的常态化、动态化调整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协助医保部门进一步扩大预付制覆盖范围，建立更为立体的多元化支付体系，提升医保基金使用效能。</w:t>
      </w:r>
    </w:p>
    <w:p w14:paraId="397D4BEF">
      <w:pPr>
        <w:pStyle w:val="1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3、提供</w:t>
      </w:r>
      <w:r>
        <w:rPr>
          <w:rFonts w:hint="eastAsia" w:asciiTheme="minorEastAsia" w:hAnsiTheme="minorEastAsia" w:eastAsiaTheme="minorEastAsia" w:cstheme="minorEastAsia"/>
          <w:color w:val="auto"/>
          <w:sz w:val="24"/>
          <w:szCs w:val="24"/>
          <w:highlight w:val="none"/>
        </w:rPr>
        <w:t>经办辅助服务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辅助医保经办机构开展日常DRG经办服务工作，提供数据质控、病例审核等服务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发挥好DRG付费特例单议、数据工作组、协商谈判、预付金、意见收集等配套工作机制作用</w:t>
      </w:r>
      <w:r>
        <w:rPr>
          <w:rFonts w:hint="eastAsia" w:asciiTheme="minorEastAsia" w:hAnsiTheme="minorEastAsia" w:eastAsiaTheme="minorEastAsia" w:cstheme="minorEastAsia"/>
          <w:color w:val="auto"/>
          <w:sz w:val="24"/>
          <w:szCs w:val="24"/>
          <w:highlight w:val="none"/>
          <w:lang w:eastAsia="zh-CN"/>
        </w:rPr>
        <w:t>。</w:t>
      </w:r>
    </w:p>
    <w:p w14:paraId="2E6350E3">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DRG系统切换服务</w:t>
      </w:r>
    </w:p>
    <w:p w14:paraId="0C040A10">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完成我市DRG付费系统向省平台切换工作，采用国家DRG付费方式管理模块开展DRG付费相关经办业务。切换工作主要包括</w:t>
      </w: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rPr>
        <w:t>方面工作：一是</w:t>
      </w:r>
      <w:r>
        <w:rPr>
          <w:rFonts w:hint="eastAsia" w:asciiTheme="minorEastAsia" w:hAnsiTheme="minorEastAsia" w:eastAsiaTheme="minorEastAsia" w:cstheme="minorEastAsia"/>
          <w:color w:val="auto"/>
          <w:sz w:val="24"/>
          <w:szCs w:val="24"/>
          <w:lang w:val="en-US" w:eastAsia="zh-CN"/>
        </w:rPr>
        <w:t>做好</w:t>
      </w:r>
      <w:r>
        <w:rPr>
          <w:rFonts w:hint="eastAsia" w:asciiTheme="minorEastAsia" w:hAnsiTheme="minorEastAsia" w:eastAsiaTheme="minorEastAsia" w:cstheme="minorEastAsia"/>
          <w:color w:val="auto"/>
          <w:sz w:val="24"/>
          <w:szCs w:val="24"/>
        </w:rPr>
        <w:t>需求分析</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通过调研梳理业务流程、DRG政策标准，形成经办规程和《DRG政策参数标准分析表》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二是</w:t>
      </w:r>
      <w:r>
        <w:rPr>
          <w:rFonts w:hint="eastAsia" w:asciiTheme="minorEastAsia" w:hAnsiTheme="minorEastAsia" w:eastAsiaTheme="minorEastAsia" w:cstheme="minorEastAsia"/>
          <w:color w:val="auto"/>
          <w:sz w:val="24"/>
          <w:szCs w:val="24"/>
          <w:lang w:val="en-US" w:eastAsia="zh-CN"/>
        </w:rPr>
        <w:t>做好</w:t>
      </w:r>
      <w:r>
        <w:rPr>
          <w:rFonts w:hint="eastAsia" w:asciiTheme="minorEastAsia" w:hAnsiTheme="minorEastAsia" w:eastAsiaTheme="minorEastAsia" w:cstheme="minorEastAsia"/>
          <w:color w:val="auto"/>
          <w:sz w:val="24"/>
          <w:szCs w:val="24"/>
        </w:rPr>
        <w:t>省DRG平台系统配置</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依据国家技术规范和本地政策，完成结算清单质控规则、DRG支付标准参数（病组、权重、费率等）、月度结算政策的配置，并通过模拟运行测试检验参数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三是</w:t>
      </w:r>
      <w:r>
        <w:rPr>
          <w:rFonts w:hint="eastAsia" w:asciiTheme="minorEastAsia" w:hAnsiTheme="minorEastAsia" w:eastAsiaTheme="minorEastAsia" w:cstheme="minorEastAsia"/>
          <w:color w:val="auto"/>
          <w:sz w:val="24"/>
          <w:szCs w:val="24"/>
          <w:lang w:val="en-US" w:eastAsia="zh-CN"/>
        </w:rPr>
        <w:t>做好</w:t>
      </w:r>
      <w:r>
        <w:rPr>
          <w:rFonts w:hint="eastAsia" w:asciiTheme="minorEastAsia" w:hAnsiTheme="minorEastAsia" w:eastAsiaTheme="minorEastAsia" w:cstheme="minorEastAsia"/>
          <w:color w:val="auto"/>
          <w:sz w:val="24"/>
          <w:szCs w:val="24"/>
        </w:rPr>
        <w:t>功能测试与校验</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验证结算流程流畅性和计算准确性（如病种权重、支付标准等），确保系统上线后稳定运行。</w:t>
      </w:r>
      <w:r>
        <w:rPr>
          <w:rFonts w:hint="eastAsia" w:asciiTheme="minorEastAsia" w:hAnsiTheme="minorEastAsia" w:eastAsiaTheme="minorEastAsia" w:cstheme="minorEastAsia"/>
          <w:color w:val="auto"/>
          <w:sz w:val="24"/>
          <w:szCs w:val="24"/>
          <w:lang w:val="en-US" w:eastAsia="zh-CN"/>
        </w:rPr>
        <w:t>四是做好历史数据迁移。完成</w:t>
      </w:r>
      <w:r>
        <w:rPr>
          <w:rFonts w:hint="eastAsia" w:asciiTheme="minorEastAsia" w:hAnsiTheme="minorEastAsia" w:eastAsiaTheme="minorEastAsia" w:cstheme="minorEastAsia"/>
          <w:color w:val="auto"/>
          <w:sz w:val="24"/>
          <w:szCs w:val="24"/>
          <w:highlight w:val="none"/>
          <w:lang w:val="en-US" w:eastAsia="zh-CN"/>
        </w:rPr>
        <w:t>原DRG付费系统历史</w:t>
      </w:r>
      <w:r>
        <w:rPr>
          <w:rFonts w:hint="eastAsia" w:asciiTheme="minorEastAsia" w:hAnsiTheme="minorEastAsia" w:eastAsiaTheme="minorEastAsia" w:cstheme="minorEastAsia"/>
          <w:color w:val="auto"/>
          <w:sz w:val="24"/>
          <w:szCs w:val="24"/>
          <w:highlight w:val="none"/>
        </w:rPr>
        <w:t>医保结算清单数据及对应的分组、结算等</w:t>
      </w:r>
      <w:r>
        <w:rPr>
          <w:rFonts w:hint="eastAsia" w:asciiTheme="minorEastAsia" w:hAnsiTheme="minorEastAsia" w:eastAsiaTheme="minorEastAsia" w:cstheme="minorEastAsia"/>
          <w:color w:val="auto"/>
          <w:sz w:val="24"/>
          <w:szCs w:val="24"/>
          <w:highlight w:val="none"/>
          <w:lang w:val="en-US" w:eastAsia="zh-CN"/>
        </w:rPr>
        <w:t>全量DRG付费</w:t>
      </w:r>
      <w:r>
        <w:rPr>
          <w:rFonts w:hint="eastAsia" w:asciiTheme="minorEastAsia" w:hAnsiTheme="minorEastAsia" w:eastAsiaTheme="minorEastAsia" w:cstheme="minorEastAsia"/>
          <w:color w:val="auto"/>
          <w:sz w:val="24"/>
          <w:szCs w:val="24"/>
          <w:highlight w:val="none"/>
        </w:rPr>
        <w:t>数据</w:t>
      </w:r>
      <w:r>
        <w:rPr>
          <w:rFonts w:hint="eastAsia" w:asciiTheme="minorEastAsia" w:hAnsiTheme="minorEastAsia" w:eastAsiaTheme="minorEastAsia" w:cstheme="minorEastAsia"/>
          <w:color w:val="auto"/>
          <w:sz w:val="24"/>
          <w:szCs w:val="24"/>
          <w:highlight w:val="none"/>
          <w:lang w:val="en-US" w:eastAsia="zh-CN"/>
        </w:rPr>
        <w:t>的迁移工作</w:t>
      </w:r>
      <w:r>
        <w:rPr>
          <w:rFonts w:hint="eastAsia" w:asciiTheme="minorEastAsia" w:hAnsiTheme="minorEastAsia" w:eastAsiaTheme="minorEastAsia" w:cstheme="minorEastAsia"/>
          <w:color w:val="auto"/>
          <w:sz w:val="24"/>
          <w:szCs w:val="24"/>
          <w:highlight w:val="none"/>
        </w:rPr>
        <w:t>，支持2025年月度结算和年终清算的历史关联问题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确保付费数据满足连续性运行分析要求</w:t>
      </w:r>
      <w:r>
        <w:rPr>
          <w:rFonts w:hint="eastAsia" w:asciiTheme="minorEastAsia" w:hAnsiTheme="minorEastAsia" w:eastAsiaTheme="minorEastAsia" w:cstheme="minorEastAsia"/>
          <w:color w:val="auto"/>
          <w:sz w:val="24"/>
          <w:szCs w:val="24"/>
          <w:highlight w:val="none"/>
        </w:rPr>
        <w:t>。</w:t>
      </w:r>
    </w:p>
    <w:p w14:paraId="7FF4F7D8">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供应商应基于以上要求，提供相应的DRG系统切换服务方案，方案内容应包括切换需求分析、省DRG平台系统配置</w:t>
      </w:r>
      <w:r>
        <w:rPr>
          <w:rFonts w:hint="eastAsia" w:asciiTheme="minorEastAsia" w:hAnsiTheme="minorEastAsia" w:eastAsiaTheme="minorEastAsia" w:cstheme="minorEastAsia"/>
          <w:b w:val="0"/>
          <w:bCs w:val="0"/>
          <w:color w:val="auto"/>
          <w:sz w:val="24"/>
          <w:szCs w:val="24"/>
          <w:lang w:val="en-US" w:eastAsia="zh-CN"/>
        </w:rPr>
        <w:t>方案</w:t>
      </w:r>
      <w:r>
        <w:rPr>
          <w:rFonts w:hint="eastAsia" w:asciiTheme="minorEastAsia" w:hAnsiTheme="minorEastAsia" w:eastAsiaTheme="minorEastAsia" w:cstheme="minorEastAsia"/>
          <w:b w:val="0"/>
          <w:bCs w:val="0"/>
          <w:color w:val="auto"/>
          <w:sz w:val="24"/>
          <w:szCs w:val="24"/>
        </w:rPr>
        <w:t>、功能测试与校验方案</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历史数据迁移方案</w:t>
      </w:r>
      <w:r>
        <w:rPr>
          <w:rFonts w:hint="eastAsia" w:asciiTheme="minorEastAsia" w:hAnsiTheme="minorEastAsia" w:eastAsiaTheme="minorEastAsia" w:cstheme="minorEastAsia"/>
          <w:b w:val="0"/>
          <w:bCs w:val="0"/>
          <w:color w:val="auto"/>
          <w:sz w:val="24"/>
          <w:szCs w:val="24"/>
        </w:rPr>
        <w:t>等。</w:t>
      </w:r>
    </w:p>
    <w:p w14:paraId="0CF632C2">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支付改革技术支撑服务</w:t>
      </w:r>
    </w:p>
    <w:p w14:paraId="756E2EAA">
      <w:pPr>
        <w:pStyle w:val="42"/>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医保支付方式改革项目的数据及政策调优工作主要包括</w:t>
      </w: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个方面：一是历史数据采集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依据国家结算清单标准，统一数据格式并确保采集质量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二是数据标化治理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按照医保编码规范清洗数据，形成标准化基础数据并反馈问题</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三是分组测算调优</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基于国家CHS-DRG 2.0方案调整本地细分组，建立动态调整机制并优化特殊病组设置</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四是支付标准测算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结合分组方案和基金情况优化DRG权重与费率，分医院等级设定调整系数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五是政策辅助调优。</w:t>
      </w:r>
      <w:r>
        <w:rPr>
          <w:rFonts w:hint="eastAsia" w:asciiTheme="minorEastAsia" w:hAnsiTheme="minorEastAsia" w:eastAsiaTheme="minorEastAsia" w:cstheme="minorEastAsia"/>
          <w:color w:val="auto"/>
          <w:sz w:val="24"/>
          <w:szCs w:val="24"/>
          <w:highlight w:val="none"/>
        </w:rPr>
        <w:t>协助医保部门根据</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相关</w:t>
      </w:r>
      <w:r>
        <w:rPr>
          <w:rFonts w:hint="eastAsia" w:asciiTheme="minorEastAsia" w:hAnsiTheme="minorEastAsia" w:eastAsiaTheme="minorEastAsia" w:cstheme="minorEastAsia"/>
          <w:color w:val="auto"/>
          <w:sz w:val="24"/>
          <w:szCs w:val="24"/>
          <w:highlight w:val="none"/>
          <w:lang w:val="en-US" w:eastAsia="zh-CN"/>
        </w:rPr>
        <w:t>新</w:t>
      </w:r>
      <w:r>
        <w:rPr>
          <w:rFonts w:hint="eastAsia" w:asciiTheme="minorEastAsia" w:hAnsiTheme="minorEastAsia" w:eastAsiaTheme="minorEastAsia" w:cstheme="minorEastAsia"/>
          <w:color w:val="auto"/>
          <w:sz w:val="24"/>
          <w:szCs w:val="24"/>
          <w:highlight w:val="none"/>
        </w:rPr>
        <w:t>政</w:t>
      </w:r>
      <w:r>
        <w:rPr>
          <w:rFonts w:hint="eastAsia" w:asciiTheme="minorEastAsia" w:hAnsiTheme="minorEastAsia" w:eastAsiaTheme="minorEastAsia" w:cstheme="minorEastAsia"/>
          <w:color w:val="auto"/>
          <w:sz w:val="24"/>
          <w:szCs w:val="24"/>
          <w:highlight w:val="none"/>
          <w:lang w:val="en-US" w:eastAsia="zh-CN"/>
        </w:rPr>
        <w:t>和工作要求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结合</w:t>
      </w:r>
      <w:r>
        <w:rPr>
          <w:rFonts w:hint="eastAsia" w:asciiTheme="minorEastAsia" w:hAnsiTheme="minorEastAsia" w:eastAsiaTheme="minorEastAsia" w:cstheme="minorEastAsia"/>
          <w:color w:val="auto"/>
          <w:sz w:val="24"/>
          <w:szCs w:val="24"/>
          <w:highlight w:val="none"/>
          <w:lang w:val="en-US" w:eastAsia="zh-CN"/>
        </w:rPr>
        <w:t>太原市</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运行实际，</w:t>
      </w:r>
      <w:r>
        <w:rPr>
          <w:rFonts w:hint="eastAsia" w:asciiTheme="minorEastAsia" w:hAnsiTheme="minorEastAsia" w:eastAsiaTheme="minorEastAsia" w:cstheme="minorEastAsia"/>
          <w:color w:val="auto"/>
          <w:sz w:val="24"/>
          <w:szCs w:val="24"/>
          <w:highlight w:val="none"/>
          <w:lang w:val="en-US" w:eastAsia="zh-CN"/>
        </w:rPr>
        <w:t>研究完善</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lang w:val="en-US" w:eastAsia="zh-CN"/>
        </w:rPr>
        <w:t>有关政策及配套工作机制；</w:t>
      </w:r>
      <w:r>
        <w:rPr>
          <w:rFonts w:hint="eastAsia" w:asciiTheme="minorEastAsia" w:hAnsiTheme="minorEastAsia" w:eastAsiaTheme="minorEastAsia" w:cstheme="minorEastAsia"/>
          <w:color w:val="auto"/>
          <w:sz w:val="24"/>
          <w:szCs w:val="24"/>
          <w:highlight w:val="none"/>
        </w:rPr>
        <w:t>协助医保</w:t>
      </w:r>
      <w:r>
        <w:rPr>
          <w:rFonts w:hint="eastAsia" w:asciiTheme="minorEastAsia" w:hAnsiTheme="minorEastAsia" w:eastAsiaTheme="minorEastAsia" w:cstheme="minorEastAsia"/>
          <w:color w:val="auto"/>
          <w:sz w:val="24"/>
          <w:szCs w:val="24"/>
          <w:highlight w:val="none"/>
          <w:lang w:val="en-US" w:eastAsia="zh-CN"/>
        </w:rPr>
        <w:t>部门评估并</w:t>
      </w:r>
      <w:r>
        <w:rPr>
          <w:rFonts w:hint="eastAsia" w:asciiTheme="minorEastAsia" w:hAnsiTheme="minorEastAsia" w:eastAsiaTheme="minorEastAsia" w:cstheme="minorEastAsia"/>
          <w:color w:val="auto"/>
          <w:sz w:val="24"/>
          <w:szCs w:val="24"/>
          <w:highlight w:val="none"/>
        </w:rPr>
        <w:t>优化康复病例、精神疾病等</w:t>
      </w:r>
      <w:r>
        <w:rPr>
          <w:rFonts w:hint="eastAsia" w:asciiTheme="minorEastAsia" w:hAnsiTheme="minorEastAsia" w:eastAsiaTheme="minorEastAsia" w:cstheme="minorEastAsia"/>
          <w:color w:val="auto"/>
          <w:sz w:val="24"/>
          <w:szCs w:val="24"/>
          <w:highlight w:val="none"/>
          <w:lang w:val="en-US" w:eastAsia="zh-CN"/>
        </w:rPr>
        <w:t>长期住院</w:t>
      </w:r>
      <w:r>
        <w:rPr>
          <w:rFonts w:hint="eastAsia" w:asciiTheme="minorEastAsia" w:hAnsiTheme="minorEastAsia" w:eastAsiaTheme="minorEastAsia" w:cstheme="minorEastAsia"/>
          <w:color w:val="auto"/>
          <w:sz w:val="24"/>
          <w:szCs w:val="24"/>
          <w:highlight w:val="none"/>
        </w:rPr>
        <w:t>病例的</w:t>
      </w:r>
      <w:r>
        <w:rPr>
          <w:rFonts w:hint="eastAsia" w:asciiTheme="minorEastAsia" w:hAnsiTheme="minorEastAsia" w:eastAsiaTheme="minorEastAsia" w:cstheme="minorEastAsia"/>
          <w:color w:val="auto"/>
          <w:sz w:val="24"/>
          <w:szCs w:val="24"/>
          <w:highlight w:val="none"/>
          <w:lang w:val="en-US" w:eastAsia="zh-CN"/>
        </w:rPr>
        <w:t>按</w:t>
      </w:r>
      <w:r>
        <w:rPr>
          <w:rFonts w:hint="eastAsia" w:asciiTheme="minorEastAsia" w:hAnsiTheme="minorEastAsia" w:eastAsiaTheme="minorEastAsia" w:cstheme="minorEastAsia"/>
          <w:color w:val="auto"/>
          <w:sz w:val="24"/>
          <w:szCs w:val="24"/>
          <w:highlight w:val="none"/>
        </w:rPr>
        <w:t>床日付费</w:t>
      </w:r>
      <w:r>
        <w:rPr>
          <w:rFonts w:hint="eastAsia" w:asciiTheme="minorEastAsia" w:hAnsiTheme="minorEastAsia" w:eastAsiaTheme="minorEastAsia" w:cstheme="minorEastAsia"/>
          <w:color w:val="auto"/>
          <w:sz w:val="24"/>
          <w:szCs w:val="24"/>
          <w:highlight w:val="none"/>
          <w:lang w:val="en-US" w:eastAsia="zh-CN"/>
        </w:rPr>
        <w:t>办法以及县域医疗集团打包付费办法，研究制定中医优势病种按病种付费办法，并积极探索建立门诊费用总额预付管理办法。</w:t>
      </w:r>
    </w:p>
    <w:p w14:paraId="5F7436B4">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rPr>
        <w:t>供应商应基于以上要求，提供相应的</w:t>
      </w:r>
      <w:r>
        <w:rPr>
          <w:rFonts w:hint="eastAsia" w:asciiTheme="minorEastAsia" w:hAnsiTheme="minorEastAsia" w:eastAsiaTheme="minorEastAsia" w:cstheme="minorEastAsia"/>
          <w:b w:val="0"/>
          <w:bCs w:val="0"/>
          <w:color w:val="auto"/>
          <w:sz w:val="24"/>
          <w:szCs w:val="24"/>
          <w:lang w:val="en-US" w:eastAsia="zh-CN"/>
        </w:rPr>
        <w:t>DRG付费</w:t>
      </w:r>
      <w:r>
        <w:rPr>
          <w:rFonts w:hint="eastAsia" w:asciiTheme="minorEastAsia" w:hAnsiTheme="minorEastAsia" w:eastAsiaTheme="minorEastAsia" w:cstheme="minorEastAsia"/>
          <w:b w:val="0"/>
          <w:bCs w:val="0"/>
          <w:color w:val="auto"/>
          <w:sz w:val="24"/>
          <w:szCs w:val="24"/>
        </w:rPr>
        <w:t>技术支撑服务方案，方案内容应包括历史数据采集、数据标化治理、分组测算调优、支付标准测算方案</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政策辅助调优</w:t>
      </w:r>
      <w:r>
        <w:rPr>
          <w:rFonts w:hint="eastAsia" w:asciiTheme="minorEastAsia" w:hAnsiTheme="minorEastAsia" w:eastAsiaTheme="minorEastAsia" w:cstheme="minorEastAsia"/>
          <w:b w:val="0"/>
          <w:bCs w:val="0"/>
          <w:color w:val="auto"/>
          <w:sz w:val="24"/>
          <w:szCs w:val="24"/>
          <w:lang w:val="en-US" w:eastAsia="zh-CN"/>
        </w:rPr>
        <w:t>方案</w:t>
      </w:r>
      <w:r>
        <w:rPr>
          <w:rFonts w:hint="eastAsia" w:asciiTheme="minorEastAsia" w:hAnsiTheme="minorEastAsia" w:eastAsiaTheme="minorEastAsia" w:cstheme="minorEastAsia"/>
          <w:b w:val="0"/>
          <w:bCs w:val="0"/>
          <w:color w:val="auto"/>
          <w:sz w:val="24"/>
          <w:szCs w:val="24"/>
        </w:rPr>
        <w:t>等</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长期住院病例按床日付费、县域医疗集团打包付费、中医优势病种按病种付费、门诊总额预付管理提供付费办法设计以及可行性分析</w:t>
      </w:r>
      <w:r>
        <w:rPr>
          <w:rFonts w:hint="eastAsia" w:asciiTheme="minorEastAsia" w:hAnsiTheme="minorEastAsia" w:eastAsiaTheme="minorEastAsia" w:cstheme="minorEastAsia"/>
          <w:b w:val="0"/>
          <w:bCs w:val="0"/>
          <w:color w:val="auto"/>
          <w:sz w:val="24"/>
          <w:szCs w:val="24"/>
        </w:rPr>
        <w:t>。</w:t>
      </w:r>
    </w:p>
    <w:p w14:paraId="6F9898F3">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DRG日常经办辅助服务</w:t>
      </w:r>
    </w:p>
    <w:p w14:paraId="7E03882B">
      <w:pPr>
        <w:pStyle w:val="1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医保支付方式改革的日常运营工作主要包括七个方面：一是数据采集日常质控</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通过系统+人工方式每日审核结算清单，督促医院整改问题数据</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二是病例分组审核反馈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协助医保</w:t>
      </w:r>
      <w:r>
        <w:rPr>
          <w:rFonts w:hint="eastAsia" w:asciiTheme="minorEastAsia" w:hAnsiTheme="minorEastAsia" w:eastAsiaTheme="minorEastAsia" w:cstheme="minorEastAsia"/>
          <w:color w:val="auto"/>
          <w:sz w:val="24"/>
          <w:szCs w:val="24"/>
          <w:lang w:val="en-US" w:eastAsia="zh-CN"/>
        </w:rPr>
        <w:t>经办</w:t>
      </w:r>
      <w:r>
        <w:rPr>
          <w:rFonts w:hint="eastAsia" w:asciiTheme="minorEastAsia" w:hAnsiTheme="minorEastAsia" w:eastAsiaTheme="minorEastAsia" w:cstheme="minorEastAsia"/>
          <w:color w:val="auto"/>
          <w:sz w:val="24"/>
          <w:szCs w:val="24"/>
        </w:rPr>
        <w:t>每月审核诊断与手术编码的合理性，抽检分组结果并受理医院调整申请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三是月度DRG基金结算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协助医保经办完成月度结算、对账及审核</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四是</w:t>
      </w:r>
      <w:r>
        <w:rPr>
          <w:rFonts w:hint="eastAsia" w:asciiTheme="minorEastAsia" w:hAnsiTheme="minorEastAsia" w:eastAsiaTheme="minorEastAsia" w:cstheme="minorEastAsia"/>
          <w:color w:val="auto"/>
          <w:sz w:val="24"/>
          <w:szCs w:val="24"/>
          <w:lang w:val="en-US" w:eastAsia="zh-CN"/>
        </w:rPr>
        <w:t>运行配套工作机制。</w:t>
      </w:r>
      <w:r>
        <w:rPr>
          <w:rFonts w:hint="eastAsia" w:asciiTheme="minorEastAsia" w:hAnsiTheme="minorEastAsia" w:eastAsiaTheme="minorEastAsia" w:cstheme="minorEastAsia"/>
          <w:color w:val="auto"/>
          <w:sz w:val="24"/>
          <w:szCs w:val="24"/>
        </w:rPr>
        <w:t>协助</w:t>
      </w:r>
      <w:r>
        <w:rPr>
          <w:rFonts w:hint="eastAsia" w:asciiTheme="minorEastAsia" w:hAnsiTheme="minorEastAsia" w:eastAsiaTheme="minorEastAsia" w:cstheme="minorEastAsia"/>
          <w:color w:val="auto"/>
          <w:sz w:val="24"/>
          <w:szCs w:val="24"/>
          <w:lang w:val="en-US" w:eastAsia="zh-CN"/>
        </w:rPr>
        <w:t>医保经办做好特病单议</w:t>
      </w:r>
      <w:r>
        <w:rPr>
          <w:rFonts w:hint="eastAsia" w:asciiTheme="minorEastAsia" w:hAnsiTheme="minorEastAsia" w:eastAsiaTheme="minorEastAsia" w:cstheme="minorEastAsia"/>
          <w:color w:val="auto"/>
          <w:sz w:val="24"/>
          <w:szCs w:val="24"/>
          <w:highlight w:val="none"/>
          <w:lang w:val="en-US" w:eastAsia="zh-CN"/>
        </w:rPr>
        <w:t>、数据工作组、协商谈判、预付金、意见收集等配套工作机制运行，完善并发挥配套工作机制作用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rPr>
        <w:t>五是DRG付费年终清算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拟定清算方案并协助完成年度基金测算与反馈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六是定期数据运行分析</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按季度、年度生成基金运行报告，分析绩效指标与医院盈亏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七是DRG专项业务培训</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组织病案编码、结算政策等</w:t>
      </w:r>
      <w:r>
        <w:rPr>
          <w:rFonts w:hint="eastAsia" w:asciiTheme="minorEastAsia" w:hAnsiTheme="minorEastAsia" w:eastAsiaTheme="minorEastAsia" w:cstheme="minorEastAsia"/>
          <w:color w:val="auto"/>
          <w:sz w:val="24"/>
          <w:szCs w:val="24"/>
          <w:lang w:val="en-US" w:eastAsia="zh-CN"/>
        </w:rPr>
        <w:t>DRG付费</w:t>
      </w:r>
      <w:r>
        <w:rPr>
          <w:rFonts w:hint="eastAsia" w:asciiTheme="minorEastAsia" w:hAnsiTheme="minorEastAsia" w:eastAsiaTheme="minorEastAsia" w:cstheme="minorEastAsia"/>
          <w:color w:val="auto"/>
          <w:sz w:val="24"/>
          <w:szCs w:val="24"/>
        </w:rPr>
        <w:t>培训，提升医保及医疗机构业务能力。</w:t>
      </w:r>
    </w:p>
    <w:p w14:paraId="40FCCFB8">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rPr>
        <w:t>供应商应基于以上要求，提供相应的DRG日常经办辅助服务，方案内容应包括数据采集日常质控、病例分组审核反馈、月度DRG基金结算、协助组织特殊病例筛查审核、DRG付费年终清算、定期数据运行分析、DRG专项业务培训等。</w:t>
      </w:r>
    </w:p>
    <w:p w14:paraId="2D22448D">
      <w:pPr>
        <w:keepNext w:val="0"/>
        <w:keepLines w:val="0"/>
        <w:pageBreakBefore w:val="0"/>
        <w:widowControl w:val="0"/>
        <w:kinsoku/>
        <w:overflowPunct/>
        <w:autoSpaceDE/>
        <w:autoSpaceDN/>
        <w:bidi w:val="0"/>
        <w:spacing w:line="360" w:lineRule="auto"/>
        <w:ind w:left="0" w:leftChars="0" w:right="0" w:rightChars="0" w:firstLine="482" w:firstLineChars="200"/>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bookmarkStart w:id="47" w:name="_Toc180347470"/>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br w:type="page"/>
      </w:r>
    </w:p>
    <w:p w14:paraId="180BDC33">
      <w:pPr>
        <w:keepNext w:val="0"/>
        <w:keepLines w:val="0"/>
        <w:pageBreakBefore w:val="0"/>
        <w:widowControl w:val="0"/>
        <w:tabs>
          <w:tab w:val="left" w:pos="2070"/>
          <w:tab w:val="center" w:pos="4365"/>
        </w:tabs>
        <w:kinsoku/>
        <w:wordWrap/>
        <w:overflowPunct/>
        <w:topLinePunct/>
        <w:autoSpaceDE/>
        <w:autoSpaceDN/>
        <w:bidi w:val="0"/>
        <w:adjustRightInd w:val="0"/>
        <w:snapToGrid w:val="0"/>
        <w:spacing w:line="360" w:lineRule="auto"/>
        <w:jc w:val="center"/>
        <w:textAlignment w:val="auto"/>
        <w:outlineLvl w:val="0"/>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第六部分  拟签订的合同文本</w:t>
      </w:r>
      <w:bookmarkEnd w:id="47"/>
      <w:bookmarkStart w:id="48" w:name="_Toc22209"/>
    </w:p>
    <w:bookmarkEnd w:id="48"/>
    <w:p w14:paraId="0D010D9A">
      <w:pPr>
        <w:widowControl/>
        <w:wordWrap w:val="0"/>
        <w:jc w:val="center"/>
        <w:outlineLvl w:val="0"/>
        <w:rPr>
          <w:rFonts w:hint="eastAsia" w:asciiTheme="minorEastAsia" w:hAnsiTheme="minorEastAsia" w:eastAsiaTheme="minorEastAsia" w:cstheme="minorEastAsia"/>
          <w:b/>
          <w:bCs/>
          <w:kern w:val="0"/>
          <w:sz w:val="40"/>
          <w:szCs w:val="40"/>
          <w:lang w:val="en-US" w:eastAsia="zh-CN"/>
        </w:rPr>
      </w:pPr>
      <w:bookmarkStart w:id="49" w:name="_Toc180347474"/>
      <w:r>
        <w:rPr>
          <w:rFonts w:hint="eastAsia" w:asciiTheme="minorEastAsia" w:hAnsiTheme="minorEastAsia" w:eastAsiaTheme="minorEastAsia" w:cstheme="minorEastAsia"/>
          <w:b/>
          <w:bCs/>
          <w:kern w:val="0"/>
          <w:sz w:val="40"/>
          <w:szCs w:val="40"/>
          <w:lang w:val="en-US" w:eastAsia="zh-CN"/>
        </w:rPr>
        <w:t xml:space="preserve"> </w:t>
      </w:r>
    </w:p>
    <w:p w14:paraId="4B6826D3">
      <w:pPr>
        <w:widowControl/>
        <w:wordWrap w:val="0"/>
        <w:jc w:val="center"/>
        <w:outlineLvl w:val="0"/>
        <w:rPr>
          <w:rFonts w:hint="eastAsia" w:asciiTheme="minorEastAsia" w:hAnsiTheme="minorEastAsia" w:eastAsiaTheme="minorEastAsia" w:cstheme="minorEastAsia"/>
          <w:b/>
          <w:bCs/>
          <w:kern w:val="0"/>
          <w:sz w:val="40"/>
          <w:szCs w:val="40"/>
        </w:rPr>
      </w:pPr>
      <w:r>
        <w:rPr>
          <w:rFonts w:hint="eastAsia" w:asciiTheme="minorEastAsia" w:hAnsiTheme="minorEastAsia" w:eastAsiaTheme="minorEastAsia" w:cstheme="minorEastAsia"/>
          <w:b/>
          <w:bCs/>
          <w:kern w:val="0"/>
          <w:sz w:val="40"/>
          <w:szCs w:val="40"/>
        </w:rPr>
        <w:t>太原市DRG支付方式改革第三方服务项目</w:t>
      </w:r>
    </w:p>
    <w:p w14:paraId="4911A1E4">
      <w:pPr>
        <w:widowControl/>
        <w:wordWrap w:val="0"/>
        <w:ind w:left="0"/>
        <w:jc w:val="both"/>
        <w:outlineLvl w:val="0"/>
        <w:rPr>
          <w:rFonts w:hint="eastAsia" w:asciiTheme="minorEastAsia" w:hAnsiTheme="minorEastAsia" w:eastAsiaTheme="minorEastAsia" w:cstheme="minorEastAsia"/>
          <w:b/>
          <w:bCs/>
          <w:kern w:val="0"/>
          <w:sz w:val="48"/>
          <w:szCs w:val="48"/>
        </w:rPr>
      </w:pPr>
    </w:p>
    <w:p w14:paraId="61B86701">
      <w:pPr>
        <w:widowControl/>
        <w:wordWrap w:val="0"/>
        <w:ind w:left="0"/>
        <w:jc w:val="center"/>
        <w:outlineLvl w:val="0"/>
        <w:rPr>
          <w:rFonts w:hint="eastAsia" w:asciiTheme="minorEastAsia" w:hAnsiTheme="minorEastAsia" w:eastAsiaTheme="minorEastAsia" w:cstheme="minorEastAsia"/>
          <w:b/>
          <w:bCs/>
          <w:kern w:val="0"/>
          <w:sz w:val="48"/>
          <w:szCs w:val="48"/>
        </w:rPr>
      </w:pPr>
    </w:p>
    <w:p w14:paraId="1F76CBD1">
      <w:pPr>
        <w:keepNext w:val="0"/>
        <w:keepLines w:val="0"/>
        <w:pageBreakBefore w:val="0"/>
        <w:widowControl/>
        <w:kinsoku/>
        <w:wordWrap w:val="0"/>
        <w:overflowPunct/>
        <w:topLinePunct w:val="0"/>
        <w:autoSpaceDE/>
        <w:autoSpaceDN/>
        <w:bidi w:val="0"/>
        <w:adjustRightInd/>
        <w:snapToGrid/>
        <w:ind w:left="0"/>
        <w:jc w:val="center"/>
        <w:textAlignment w:val="auto"/>
        <w:outlineLvl w:val="0"/>
        <w:rPr>
          <w:rFonts w:hint="eastAsia" w:asciiTheme="minorEastAsia" w:hAnsiTheme="minorEastAsia" w:eastAsiaTheme="minorEastAsia" w:cstheme="minorEastAsia"/>
          <w:b/>
          <w:bCs/>
          <w:kern w:val="0"/>
          <w:sz w:val="48"/>
          <w:szCs w:val="48"/>
        </w:rPr>
      </w:pPr>
      <w:r>
        <w:rPr>
          <w:rFonts w:hint="eastAsia" w:asciiTheme="minorEastAsia" w:hAnsiTheme="minorEastAsia" w:eastAsiaTheme="minorEastAsia" w:cstheme="minorEastAsia"/>
          <w:b/>
          <w:bCs/>
          <w:kern w:val="0"/>
          <w:sz w:val="48"/>
          <w:szCs w:val="48"/>
        </w:rPr>
        <w:t>采</w:t>
      </w:r>
    </w:p>
    <w:p w14:paraId="32EA5D9A">
      <w:pPr>
        <w:keepNext w:val="0"/>
        <w:keepLines w:val="0"/>
        <w:pageBreakBefore w:val="0"/>
        <w:widowControl/>
        <w:kinsoku/>
        <w:wordWrap w:val="0"/>
        <w:overflowPunct/>
        <w:topLinePunct w:val="0"/>
        <w:autoSpaceDE/>
        <w:autoSpaceDN/>
        <w:bidi w:val="0"/>
        <w:adjustRightInd/>
        <w:snapToGrid/>
        <w:ind w:left="0"/>
        <w:jc w:val="center"/>
        <w:textAlignment w:val="auto"/>
        <w:outlineLvl w:val="0"/>
        <w:rPr>
          <w:rFonts w:hint="eastAsia" w:asciiTheme="minorEastAsia" w:hAnsiTheme="minorEastAsia" w:eastAsiaTheme="minorEastAsia" w:cstheme="minorEastAsia"/>
          <w:b/>
          <w:bCs/>
          <w:kern w:val="0"/>
          <w:sz w:val="48"/>
          <w:szCs w:val="48"/>
        </w:rPr>
      </w:pPr>
    </w:p>
    <w:p w14:paraId="6725E3D2">
      <w:pPr>
        <w:keepNext w:val="0"/>
        <w:keepLines w:val="0"/>
        <w:pageBreakBefore w:val="0"/>
        <w:widowControl/>
        <w:kinsoku/>
        <w:wordWrap w:val="0"/>
        <w:overflowPunct/>
        <w:topLinePunct w:val="0"/>
        <w:autoSpaceDE/>
        <w:autoSpaceDN/>
        <w:bidi w:val="0"/>
        <w:adjustRightInd/>
        <w:snapToGrid/>
        <w:ind w:left="0"/>
        <w:jc w:val="center"/>
        <w:textAlignment w:val="auto"/>
        <w:outlineLvl w:val="0"/>
        <w:rPr>
          <w:rFonts w:hint="eastAsia" w:asciiTheme="minorEastAsia" w:hAnsiTheme="minorEastAsia" w:eastAsiaTheme="minorEastAsia" w:cstheme="minorEastAsia"/>
          <w:b/>
          <w:bCs/>
          <w:kern w:val="0"/>
          <w:sz w:val="48"/>
          <w:szCs w:val="48"/>
        </w:rPr>
      </w:pPr>
      <w:r>
        <w:rPr>
          <w:rFonts w:hint="eastAsia" w:asciiTheme="minorEastAsia" w:hAnsiTheme="minorEastAsia" w:eastAsiaTheme="minorEastAsia" w:cstheme="minorEastAsia"/>
          <w:b/>
          <w:bCs/>
          <w:kern w:val="0"/>
          <w:sz w:val="48"/>
          <w:szCs w:val="48"/>
        </w:rPr>
        <w:t>购</w:t>
      </w:r>
    </w:p>
    <w:p w14:paraId="2E07DFDA">
      <w:pPr>
        <w:keepNext w:val="0"/>
        <w:keepLines w:val="0"/>
        <w:pageBreakBefore w:val="0"/>
        <w:widowControl/>
        <w:kinsoku/>
        <w:wordWrap w:val="0"/>
        <w:overflowPunct/>
        <w:topLinePunct w:val="0"/>
        <w:autoSpaceDE/>
        <w:autoSpaceDN/>
        <w:bidi w:val="0"/>
        <w:adjustRightInd/>
        <w:snapToGrid/>
        <w:ind w:left="0"/>
        <w:jc w:val="center"/>
        <w:textAlignment w:val="auto"/>
        <w:outlineLvl w:val="0"/>
        <w:rPr>
          <w:rFonts w:hint="eastAsia" w:asciiTheme="minorEastAsia" w:hAnsiTheme="minorEastAsia" w:eastAsiaTheme="minorEastAsia" w:cstheme="minorEastAsia"/>
          <w:b/>
          <w:bCs/>
          <w:kern w:val="0"/>
          <w:sz w:val="48"/>
          <w:szCs w:val="48"/>
        </w:rPr>
      </w:pPr>
    </w:p>
    <w:p w14:paraId="562FE6BB">
      <w:pPr>
        <w:keepNext w:val="0"/>
        <w:keepLines w:val="0"/>
        <w:pageBreakBefore w:val="0"/>
        <w:widowControl/>
        <w:kinsoku/>
        <w:wordWrap w:val="0"/>
        <w:overflowPunct/>
        <w:topLinePunct w:val="0"/>
        <w:autoSpaceDE/>
        <w:autoSpaceDN/>
        <w:bidi w:val="0"/>
        <w:adjustRightInd/>
        <w:snapToGrid/>
        <w:ind w:left="0"/>
        <w:jc w:val="center"/>
        <w:textAlignment w:val="auto"/>
        <w:outlineLvl w:val="0"/>
        <w:rPr>
          <w:rFonts w:hint="eastAsia" w:asciiTheme="minorEastAsia" w:hAnsiTheme="minorEastAsia" w:eastAsiaTheme="minorEastAsia" w:cstheme="minorEastAsia"/>
          <w:b/>
          <w:bCs/>
          <w:kern w:val="0"/>
          <w:sz w:val="48"/>
          <w:szCs w:val="48"/>
        </w:rPr>
      </w:pPr>
      <w:r>
        <w:rPr>
          <w:rFonts w:hint="eastAsia" w:asciiTheme="minorEastAsia" w:hAnsiTheme="minorEastAsia" w:eastAsiaTheme="minorEastAsia" w:cstheme="minorEastAsia"/>
          <w:b/>
          <w:bCs/>
          <w:kern w:val="0"/>
          <w:sz w:val="48"/>
          <w:szCs w:val="48"/>
        </w:rPr>
        <w:t>合</w:t>
      </w:r>
    </w:p>
    <w:p w14:paraId="6F91F1E1">
      <w:pPr>
        <w:keepNext w:val="0"/>
        <w:keepLines w:val="0"/>
        <w:pageBreakBefore w:val="0"/>
        <w:widowControl/>
        <w:kinsoku/>
        <w:wordWrap w:val="0"/>
        <w:overflowPunct/>
        <w:topLinePunct w:val="0"/>
        <w:autoSpaceDE/>
        <w:autoSpaceDN/>
        <w:bidi w:val="0"/>
        <w:adjustRightInd/>
        <w:snapToGrid/>
        <w:ind w:left="0"/>
        <w:jc w:val="center"/>
        <w:textAlignment w:val="auto"/>
        <w:outlineLvl w:val="0"/>
        <w:rPr>
          <w:rFonts w:hint="eastAsia" w:asciiTheme="minorEastAsia" w:hAnsiTheme="minorEastAsia" w:eastAsiaTheme="minorEastAsia" w:cstheme="minorEastAsia"/>
          <w:b/>
          <w:bCs/>
          <w:kern w:val="0"/>
          <w:sz w:val="48"/>
          <w:szCs w:val="48"/>
        </w:rPr>
      </w:pPr>
    </w:p>
    <w:p w14:paraId="2629A0C0">
      <w:pPr>
        <w:keepNext w:val="0"/>
        <w:keepLines w:val="0"/>
        <w:pageBreakBefore w:val="0"/>
        <w:widowControl/>
        <w:kinsoku/>
        <w:wordWrap w:val="0"/>
        <w:overflowPunct/>
        <w:topLinePunct w:val="0"/>
        <w:autoSpaceDE/>
        <w:autoSpaceDN/>
        <w:bidi w:val="0"/>
        <w:adjustRightInd/>
        <w:snapToGrid/>
        <w:ind w:left="0"/>
        <w:jc w:val="center"/>
        <w:textAlignment w:val="auto"/>
        <w:outlineLvl w:val="0"/>
        <w:rPr>
          <w:rFonts w:hint="eastAsia" w:asciiTheme="minorEastAsia" w:hAnsiTheme="minorEastAsia" w:eastAsiaTheme="minorEastAsia" w:cstheme="minorEastAsia"/>
          <w:b/>
          <w:bCs/>
          <w:kern w:val="0"/>
          <w:sz w:val="48"/>
          <w:szCs w:val="48"/>
        </w:rPr>
      </w:pPr>
      <w:r>
        <w:rPr>
          <w:rFonts w:hint="eastAsia" w:asciiTheme="minorEastAsia" w:hAnsiTheme="minorEastAsia" w:eastAsiaTheme="minorEastAsia" w:cstheme="minorEastAsia"/>
          <w:b/>
          <w:bCs/>
          <w:kern w:val="0"/>
          <w:sz w:val="48"/>
          <w:szCs w:val="48"/>
        </w:rPr>
        <w:t>同</w:t>
      </w:r>
    </w:p>
    <w:p w14:paraId="6F1D4795">
      <w:pPr>
        <w:widowControl/>
        <w:wordWrap w:val="0"/>
        <w:ind w:left="1024"/>
        <w:rPr>
          <w:rFonts w:hint="eastAsia" w:asciiTheme="minorEastAsia" w:hAnsiTheme="minorEastAsia" w:eastAsiaTheme="minorEastAsia" w:cstheme="minorEastAsia"/>
          <w:kern w:val="0"/>
          <w:sz w:val="32"/>
          <w:szCs w:val="32"/>
        </w:rPr>
      </w:pPr>
    </w:p>
    <w:p w14:paraId="715D2003">
      <w:pPr>
        <w:widowControl/>
        <w:wordWrap w:val="0"/>
        <w:rPr>
          <w:rFonts w:hint="eastAsia" w:asciiTheme="minorEastAsia" w:hAnsiTheme="minorEastAsia" w:eastAsiaTheme="minorEastAsia" w:cstheme="minorEastAsia"/>
          <w:color w:val="000000"/>
          <w:kern w:val="0"/>
          <w:sz w:val="32"/>
          <w:szCs w:val="32"/>
        </w:rPr>
      </w:pPr>
    </w:p>
    <w:p w14:paraId="0EC8046A">
      <w:pPr>
        <w:widowControl/>
        <w:wordWrap w:val="0"/>
        <w:ind w:left="1323" w:leftChars="630"/>
        <w:rPr>
          <w:rFonts w:hint="eastAsia" w:asciiTheme="minorEastAsia" w:hAnsiTheme="minorEastAsia" w:eastAsiaTheme="minorEastAsia" w:cstheme="minorEastAsia"/>
          <w:color w:val="000000"/>
          <w:kern w:val="0"/>
          <w:sz w:val="32"/>
          <w:szCs w:val="32"/>
          <w:lang w:eastAsia="zh-TW"/>
        </w:rPr>
      </w:pPr>
    </w:p>
    <w:p w14:paraId="5DB39AA0">
      <w:pPr>
        <w:keepNext w:val="0"/>
        <w:keepLines w:val="0"/>
        <w:pageBreakBefore w:val="0"/>
        <w:widowControl/>
        <w:kinsoku/>
        <w:wordWrap w:val="0"/>
        <w:overflowPunct/>
        <w:topLinePunct w:val="0"/>
        <w:autoSpaceDE/>
        <w:autoSpaceDN/>
        <w:bidi w:val="0"/>
        <w:adjustRightInd/>
        <w:snapToGrid/>
        <w:spacing w:line="240" w:lineRule="auto"/>
        <w:ind w:left="1323" w:leftChars="630"/>
        <w:textAlignment w:val="auto"/>
        <w:outlineLvl w:val="0"/>
        <w:rPr>
          <w:rFonts w:hint="eastAsia"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b/>
          <w:bCs/>
          <w:color w:val="000000"/>
          <w:kern w:val="0"/>
          <w:sz w:val="32"/>
          <w:szCs w:val="32"/>
          <w:lang w:val="en-US" w:eastAsia="zh-CN"/>
        </w:rPr>
        <w:t>采购</w:t>
      </w:r>
      <w:r>
        <w:rPr>
          <w:rFonts w:hint="eastAsia" w:asciiTheme="minorEastAsia" w:hAnsiTheme="minorEastAsia" w:eastAsiaTheme="minorEastAsia" w:cstheme="minorEastAsia"/>
          <w:b/>
          <w:bCs/>
          <w:color w:val="000000"/>
          <w:kern w:val="0"/>
          <w:sz w:val="32"/>
          <w:szCs w:val="32"/>
        </w:rPr>
        <w:t>人（甲方）：</w:t>
      </w:r>
      <w:r>
        <w:rPr>
          <w:rFonts w:hint="eastAsia" w:asciiTheme="minorEastAsia" w:hAnsiTheme="minorEastAsia" w:eastAsiaTheme="minorEastAsia" w:cstheme="minorEastAsia"/>
          <w:b/>
          <w:bCs/>
          <w:color w:val="000000"/>
          <w:kern w:val="0"/>
          <w:sz w:val="32"/>
          <w:szCs w:val="32"/>
          <w:lang w:val="en-US" w:eastAsia="zh-CN"/>
        </w:rPr>
        <w:t>太原</w:t>
      </w:r>
      <w:r>
        <w:rPr>
          <w:rFonts w:hint="eastAsia" w:asciiTheme="minorEastAsia" w:hAnsiTheme="minorEastAsia" w:eastAsiaTheme="minorEastAsia" w:cstheme="minorEastAsia"/>
          <w:b/>
          <w:bCs/>
          <w:color w:val="000000"/>
          <w:kern w:val="0"/>
          <w:sz w:val="32"/>
          <w:szCs w:val="32"/>
        </w:rPr>
        <w:t>市医疗保障局</w:t>
      </w:r>
    </w:p>
    <w:p w14:paraId="6DD7E7E9">
      <w:pPr>
        <w:keepNext w:val="0"/>
        <w:keepLines w:val="0"/>
        <w:pageBreakBefore w:val="0"/>
        <w:widowControl/>
        <w:kinsoku/>
        <w:wordWrap w:val="0"/>
        <w:overflowPunct/>
        <w:topLinePunct w:val="0"/>
        <w:autoSpaceDE/>
        <w:autoSpaceDN/>
        <w:bidi w:val="0"/>
        <w:adjustRightInd/>
        <w:snapToGrid/>
        <w:spacing w:line="240" w:lineRule="auto"/>
        <w:ind w:left="1323" w:leftChars="630"/>
        <w:textAlignment w:val="auto"/>
        <w:outlineLvl w:val="0"/>
        <w:rPr>
          <w:rFonts w:hint="eastAsia" w:asciiTheme="minorEastAsia" w:hAnsiTheme="minorEastAsia" w:eastAsiaTheme="minorEastAsia" w:cstheme="minorEastAsia"/>
          <w:b/>
          <w:bCs/>
          <w:color w:val="000000"/>
          <w:kern w:val="0"/>
          <w:sz w:val="32"/>
          <w:szCs w:val="32"/>
        </w:rPr>
      </w:pPr>
    </w:p>
    <w:p w14:paraId="1ACCD37A">
      <w:pPr>
        <w:keepNext w:val="0"/>
        <w:keepLines w:val="0"/>
        <w:pageBreakBefore w:val="0"/>
        <w:widowControl/>
        <w:kinsoku/>
        <w:wordWrap w:val="0"/>
        <w:overflowPunct/>
        <w:topLinePunct w:val="0"/>
        <w:autoSpaceDE/>
        <w:autoSpaceDN/>
        <w:bidi w:val="0"/>
        <w:adjustRightInd/>
        <w:snapToGrid/>
        <w:spacing w:line="240" w:lineRule="auto"/>
        <w:ind w:left="1323" w:leftChars="630"/>
        <w:textAlignment w:val="auto"/>
        <w:outlineLvl w:val="0"/>
        <w:rPr>
          <w:rFonts w:hint="eastAsia"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b/>
          <w:bCs/>
          <w:color w:val="000000"/>
          <w:kern w:val="0"/>
          <w:sz w:val="32"/>
          <w:szCs w:val="32"/>
        </w:rPr>
        <w:t>成交人（乙方）：</w:t>
      </w:r>
    </w:p>
    <w:p w14:paraId="315B5163">
      <w:pPr>
        <w:keepNext w:val="0"/>
        <w:keepLines w:val="0"/>
        <w:pageBreakBefore w:val="0"/>
        <w:widowControl/>
        <w:kinsoku/>
        <w:wordWrap w:val="0"/>
        <w:overflowPunct/>
        <w:topLinePunct w:val="0"/>
        <w:autoSpaceDE/>
        <w:autoSpaceDN/>
        <w:bidi w:val="0"/>
        <w:adjustRightInd/>
        <w:snapToGrid/>
        <w:spacing w:line="240" w:lineRule="auto"/>
        <w:ind w:left="1323" w:leftChars="630"/>
        <w:textAlignment w:val="auto"/>
        <w:outlineLvl w:val="0"/>
        <w:rPr>
          <w:rFonts w:hint="eastAsia" w:asciiTheme="minorEastAsia" w:hAnsiTheme="minorEastAsia" w:eastAsiaTheme="minorEastAsia" w:cstheme="minorEastAsia"/>
          <w:b/>
          <w:bCs/>
          <w:color w:val="000000"/>
          <w:kern w:val="0"/>
          <w:sz w:val="32"/>
          <w:szCs w:val="32"/>
        </w:rPr>
      </w:pPr>
    </w:p>
    <w:p w14:paraId="2AB904B9">
      <w:pPr>
        <w:keepNext w:val="0"/>
        <w:keepLines w:val="0"/>
        <w:pageBreakBefore w:val="0"/>
        <w:widowControl/>
        <w:kinsoku/>
        <w:wordWrap w:val="0"/>
        <w:overflowPunct/>
        <w:topLinePunct w:val="0"/>
        <w:autoSpaceDE/>
        <w:autoSpaceDN/>
        <w:bidi w:val="0"/>
        <w:adjustRightInd/>
        <w:snapToGrid/>
        <w:spacing w:line="240" w:lineRule="auto"/>
        <w:ind w:left="1323" w:leftChars="630"/>
        <w:textAlignment w:val="auto"/>
        <w:outlineLvl w:val="0"/>
        <w:rPr>
          <w:rFonts w:hint="eastAsia" w:asciiTheme="minorEastAsia" w:hAnsiTheme="minorEastAsia" w:eastAsiaTheme="minorEastAsia" w:cstheme="minorEastAsia"/>
          <w:lang w:val="en-US" w:eastAsia="zh-TW"/>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b/>
          <w:bCs/>
          <w:color w:val="000000"/>
          <w:kern w:val="0"/>
          <w:sz w:val="32"/>
          <w:szCs w:val="32"/>
        </w:rPr>
        <w:t>签署地点：山西省</w:t>
      </w:r>
      <w:r>
        <w:rPr>
          <w:rFonts w:hint="eastAsia" w:asciiTheme="minorEastAsia" w:hAnsiTheme="minorEastAsia" w:eastAsiaTheme="minorEastAsia" w:cstheme="minorEastAsia"/>
          <w:b/>
          <w:bCs/>
          <w:color w:val="000000"/>
          <w:kern w:val="0"/>
          <w:sz w:val="32"/>
          <w:szCs w:val="32"/>
          <w:lang w:val="en-US" w:eastAsia="zh-CN"/>
        </w:rPr>
        <w:t xml:space="preserve">太原市 </w:t>
      </w:r>
    </w:p>
    <w:p w14:paraId="060D68FF">
      <w:pPr>
        <w:widowControl w:val="0"/>
        <w:wordWrap/>
        <w:spacing w:line="360" w:lineRule="auto"/>
        <w:ind w:left="0" w:firstLine="540"/>
        <w:jc w:val="both"/>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zh-TW"/>
        </w:rPr>
        <w:t>太原市DRG支付方式改革第三方服务项目【项目编号：</w:t>
      </w:r>
      <w:r>
        <w:rPr>
          <w:rFonts w:hint="eastAsia" w:asciiTheme="minorEastAsia" w:hAnsiTheme="minorEastAsia" w:eastAsiaTheme="minorEastAsia" w:cstheme="minorEastAsia"/>
          <w:color w:val="000000"/>
          <w:kern w:val="2"/>
          <w:sz w:val="28"/>
          <w:szCs w:val="28"/>
          <w:u w:val="single"/>
          <w:lang w:val="en-US" w:eastAsia="zh-CN" w:bidi="zh-TW"/>
        </w:rPr>
        <w:t xml:space="preserve">                  </w:t>
      </w:r>
      <w:r>
        <w:rPr>
          <w:rFonts w:hint="eastAsia" w:asciiTheme="minorEastAsia" w:hAnsiTheme="minorEastAsia" w:eastAsiaTheme="minorEastAsia" w:cstheme="minorEastAsia"/>
          <w:color w:val="000000"/>
          <w:kern w:val="2"/>
          <w:sz w:val="28"/>
          <w:szCs w:val="28"/>
          <w:u w:val="none"/>
          <w:lang w:val="en-US" w:eastAsia="zh-CN" w:bidi="zh-TW"/>
        </w:rPr>
        <w:t>】经</w:t>
      </w:r>
      <w:r>
        <w:rPr>
          <w:rFonts w:hint="eastAsia" w:asciiTheme="minorEastAsia" w:hAnsiTheme="minorEastAsia" w:eastAsiaTheme="minorEastAsia" w:cstheme="minorEastAsia"/>
          <w:color w:val="000000"/>
          <w:kern w:val="2"/>
          <w:sz w:val="28"/>
          <w:szCs w:val="28"/>
          <w:u w:val="single"/>
          <w:lang w:val="en-US" w:eastAsia="zh-CN" w:bidi="zh-TW"/>
        </w:rPr>
        <w:t>太原市宜达科技服务有限公司</w:t>
      </w:r>
      <w:r>
        <w:rPr>
          <w:rFonts w:hint="eastAsia" w:asciiTheme="minorEastAsia" w:hAnsiTheme="minorEastAsia" w:eastAsiaTheme="minorEastAsia" w:cstheme="minorEastAsia"/>
          <w:color w:val="000000"/>
          <w:kern w:val="2"/>
          <w:sz w:val="28"/>
          <w:szCs w:val="28"/>
          <w:u w:val="none"/>
          <w:lang w:val="en-US" w:eastAsia="zh-CN" w:bidi="zh-TW"/>
        </w:rPr>
        <w:t>（采购机构）组织开展公开招标确定</w:t>
      </w:r>
      <w:r>
        <w:rPr>
          <w:rFonts w:hint="eastAsia" w:asciiTheme="minorEastAsia" w:hAnsiTheme="minorEastAsia" w:eastAsiaTheme="minorEastAsia" w:cstheme="minorEastAsia"/>
          <w:color w:val="000000"/>
          <w:kern w:val="2"/>
          <w:sz w:val="28"/>
          <w:szCs w:val="28"/>
          <w:u w:val="single"/>
          <w:lang w:val="en-US" w:eastAsia="zh-CN" w:bidi="zh-TW"/>
        </w:rPr>
        <w:t xml:space="preserve">                  </w:t>
      </w:r>
      <w:r>
        <w:rPr>
          <w:rFonts w:hint="eastAsia" w:asciiTheme="minorEastAsia" w:hAnsiTheme="minorEastAsia" w:eastAsiaTheme="minorEastAsia" w:cstheme="minorEastAsia"/>
          <w:color w:val="000000"/>
          <w:kern w:val="2"/>
          <w:sz w:val="28"/>
          <w:szCs w:val="28"/>
          <w:u w:val="none"/>
          <w:lang w:val="en-US" w:eastAsia="zh-CN" w:bidi="zh-TW"/>
        </w:rPr>
        <w:t>为成交供应商。甲乙双方根据《中华人民共和国政府采购法》、《中华人民共和国民法典》等相关法律、法规规定，按照公开、公正、诚实守信的原则，同意按照以下条款和条件，签署本合同。</w:t>
      </w:r>
    </w:p>
    <w:p w14:paraId="21D0AD02">
      <w:pPr>
        <w:widowControl w:val="0"/>
        <w:wordWrap/>
        <w:spacing w:line="360" w:lineRule="auto"/>
        <w:ind w:left="0" w:firstLine="540"/>
        <w:jc w:val="both"/>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b/>
          <w:bCs/>
          <w:color w:val="000000"/>
          <w:kern w:val="2"/>
          <w:sz w:val="28"/>
          <w:szCs w:val="28"/>
          <w:u w:val="none"/>
          <w:lang w:val="zh-TW" w:eastAsia="zh-TW" w:bidi="zh-TW"/>
        </w:rPr>
        <w:t>第一条</w:t>
      </w:r>
      <w:r>
        <w:rPr>
          <w:rFonts w:hint="eastAsia" w:asciiTheme="minorEastAsia" w:hAnsiTheme="minorEastAsia" w:eastAsiaTheme="minorEastAsia" w:cstheme="minorEastAsia"/>
          <w:b/>
          <w:bCs/>
          <w:color w:val="000000"/>
          <w:kern w:val="2"/>
          <w:sz w:val="28"/>
          <w:szCs w:val="28"/>
          <w:u w:val="none"/>
          <w:lang w:val="zh-TW" w:eastAsia="zh-CN" w:bidi="zh-TW"/>
        </w:rPr>
        <w:t xml:space="preserve"> </w:t>
      </w:r>
      <w:r>
        <w:rPr>
          <w:rFonts w:hint="eastAsia" w:asciiTheme="minorEastAsia" w:hAnsiTheme="minorEastAsia" w:eastAsiaTheme="minorEastAsia" w:cstheme="minorEastAsia"/>
          <w:b/>
          <w:bCs/>
          <w:color w:val="000000"/>
          <w:kern w:val="2"/>
          <w:sz w:val="28"/>
          <w:szCs w:val="28"/>
          <w:u w:val="none"/>
          <w:lang w:val="zh-TW" w:eastAsia="zh-TW" w:bidi="zh-TW"/>
        </w:rPr>
        <w:t>甲方委托乙方</w:t>
      </w:r>
      <w:r>
        <w:rPr>
          <w:rFonts w:hint="eastAsia" w:asciiTheme="minorEastAsia" w:hAnsiTheme="minorEastAsia" w:eastAsiaTheme="minorEastAsia" w:cstheme="minorEastAsia"/>
          <w:b/>
          <w:bCs/>
          <w:color w:val="000000"/>
          <w:kern w:val="2"/>
          <w:sz w:val="28"/>
          <w:szCs w:val="28"/>
          <w:u w:val="none"/>
          <w:lang w:val="en-US" w:eastAsia="zh-CN" w:bidi="zh-TW"/>
        </w:rPr>
        <w:t>开展的具体服务</w:t>
      </w:r>
      <w:r>
        <w:rPr>
          <w:rFonts w:hint="eastAsia" w:asciiTheme="minorEastAsia" w:hAnsiTheme="minorEastAsia" w:eastAsiaTheme="minorEastAsia" w:cstheme="minorEastAsia"/>
          <w:b/>
          <w:bCs/>
          <w:color w:val="000000"/>
          <w:kern w:val="2"/>
          <w:sz w:val="28"/>
          <w:szCs w:val="28"/>
          <w:u w:val="none"/>
          <w:lang w:val="zh-TW" w:eastAsia="zh-TW" w:bidi="zh-TW"/>
        </w:rPr>
        <w:t>内容如下：</w:t>
      </w:r>
    </w:p>
    <w:p w14:paraId="63EE3E7C">
      <w:pPr>
        <w:widowControl w:val="0"/>
        <w:wordWrap/>
        <w:spacing w:line="360" w:lineRule="auto"/>
        <w:ind w:left="0" w:firstLine="560" w:firstLineChars="200"/>
        <w:jc w:val="both"/>
        <w:rPr>
          <w:rFonts w:hint="eastAsia" w:asciiTheme="minorEastAsia" w:hAnsiTheme="minorEastAsia" w:eastAsiaTheme="minorEastAsia" w:cstheme="minorEastAsia"/>
          <w:color w:val="000000"/>
          <w:kern w:val="2"/>
          <w:sz w:val="28"/>
          <w:szCs w:val="28"/>
          <w:highlight w:val="yellow"/>
          <w:u w:val="none"/>
          <w:lang w:val="zh-TW" w:eastAsia="zh-CN" w:bidi="zh-TW"/>
        </w:rPr>
      </w:pPr>
      <w:r>
        <w:rPr>
          <w:rFonts w:hint="eastAsia" w:asciiTheme="minorEastAsia" w:hAnsiTheme="minorEastAsia" w:eastAsiaTheme="minorEastAsia" w:cstheme="minorEastAsia"/>
          <w:color w:val="000000"/>
          <w:kern w:val="2"/>
          <w:sz w:val="28"/>
          <w:szCs w:val="28"/>
          <w:u w:val="none"/>
          <w:lang w:val="en-US" w:eastAsia="zh-CN" w:bidi="en-US"/>
        </w:rPr>
        <w:t>1.</w:t>
      </w:r>
      <w:r>
        <w:rPr>
          <w:rFonts w:hint="eastAsia" w:asciiTheme="minorEastAsia" w:hAnsiTheme="minorEastAsia" w:eastAsiaTheme="minorEastAsia" w:cstheme="minorEastAsia"/>
          <w:color w:val="000000"/>
          <w:kern w:val="2"/>
          <w:sz w:val="28"/>
          <w:szCs w:val="28"/>
          <w:u w:val="none"/>
          <w:lang w:val="zh-TW" w:eastAsia="zh-TW" w:bidi="zh-TW"/>
        </w:rPr>
        <w:t>1服务内容</w:t>
      </w:r>
      <w:r>
        <w:rPr>
          <w:rFonts w:hint="eastAsia" w:asciiTheme="minorEastAsia" w:hAnsiTheme="minorEastAsia" w:eastAsiaTheme="minorEastAsia" w:cstheme="minorEastAsia"/>
          <w:color w:val="000000"/>
          <w:kern w:val="2"/>
          <w:sz w:val="28"/>
          <w:szCs w:val="28"/>
          <w:u w:val="none"/>
          <w:lang w:val="zh-TW" w:eastAsia="zh-CN" w:bidi="zh-TW"/>
        </w:rPr>
        <w:t>：</w:t>
      </w:r>
    </w:p>
    <w:p w14:paraId="77EE203B">
      <w:pPr>
        <w:widowControl w:val="0"/>
        <w:numPr>
          <w:ilvl w:val="2"/>
          <w:numId w:val="0"/>
        </w:numPr>
        <w:wordWrap/>
        <w:spacing w:line="360" w:lineRule="auto"/>
        <w:ind w:left="0" w:leftChars="0" w:firstLine="560" w:firstLineChars="200"/>
        <w:jc w:val="both"/>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zh-TW"/>
        </w:rPr>
        <w:t>（一）提供DRG系统切换服务，完成太原市DRG付费系统向省平台切换工作，并做好历史数据迁移工作，采用国家DRG付费方式管理模块开展DRG付费相关经办业务。</w:t>
      </w:r>
    </w:p>
    <w:p w14:paraId="14040272">
      <w:pPr>
        <w:widowControl w:val="0"/>
        <w:numPr>
          <w:ilvl w:val="2"/>
          <w:numId w:val="0"/>
        </w:numPr>
        <w:wordWrap/>
        <w:spacing w:line="360" w:lineRule="auto"/>
        <w:ind w:left="0" w:leftChars="0" w:firstLine="560" w:firstLineChars="200"/>
        <w:jc w:val="both"/>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zh-TW"/>
        </w:rPr>
        <w:t>（二）提供支付改革技术支撑服务，协助完善DRG付费改革规划设计，推动DRG分组的常态化、动态化调整；协助医保部门进一步扩大预付制覆盖范围，建立更为立体的多元化支付体系，提升医保基金使用效能。</w:t>
      </w:r>
    </w:p>
    <w:p w14:paraId="66B69BA7">
      <w:pPr>
        <w:widowControl w:val="0"/>
        <w:numPr>
          <w:ilvl w:val="2"/>
          <w:numId w:val="0"/>
        </w:numPr>
        <w:wordWrap/>
        <w:spacing w:line="360" w:lineRule="auto"/>
        <w:ind w:left="0" w:leftChars="0" w:firstLine="560" w:firstLineChars="200"/>
        <w:jc w:val="both"/>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zh-TW"/>
        </w:rPr>
        <w:t>（三）提供经办辅助服务，辅助医保经办机构开展日常DRG经办服务工作，提供数据质控、病例审核等服务，发挥好DRG付费特例单议、数据工作组、协商谈判、预付金、意见收集等配套工作机制作用。</w:t>
      </w:r>
    </w:p>
    <w:p w14:paraId="6ED3E397">
      <w:pPr>
        <w:widowControl w:val="0"/>
        <w:numPr>
          <w:ilvl w:val="2"/>
          <w:numId w:val="0"/>
        </w:numPr>
        <w:wordWrap/>
        <w:spacing w:line="360" w:lineRule="auto"/>
        <w:ind w:left="0" w:leftChars="0" w:firstLine="560" w:firstLineChars="200"/>
        <w:jc w:val="both"/>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zh-TW"/>
        </w:rPr>
        <w:t>1.DRG系统切换服务</w:t>
      </w:r>
    </w:p>
    <w:p w14:paraId="6E744F11">
      <w:pPr>
        <w:widowControl w:val="0"/>
        <w:numPr>
          <w:ilvl w:val="2"/>
          <w:numId w:val="0"/>
        </w:numPr>
        <w:wordWrap/>
        <w:spacing w:line="360" w:lineRule="auto"/>
        <w:ind w:left="0" w:leftChars="0" w:firstLine="560" w:firstLineChars="200"/>
        <w:jc w:val="both"/>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zh-TW"/>
        </w:rPr>
        <w:t>完成我市DRG付费系统向省平台切换工作，采用国家DRG付费方式管理模块开展DRG付费相关经办业务。切换工作主要包括四方面工作：一是做好需求分析。通过调研梳理业务流程、DRG政策标准，形成经办规程和《DRG政策参数标准分析表》。二是做好省DRG平台系统配置。依据国家技术规范和本地政策，完成结算清单质控规则、DRG支付标准参数（病组、权重、费率等）、月度结算政策的配置，并通过模拟运行测试检验参数。三是做好功能测试与校验。验证结算流程流畅性和计算准确性（如病种权重、支付标准等），确保系统上线后稳定运行。四是做好历史数据迁移。完成原DRG付费系统历史医保结算清单数据及对应的分组、结算等全量DRG付费数据的迁移工作，支持2025年月度结算和年终清算的历史关联问题，确保付费数据满足连续性运行分析要求。</w:t>
      </w:r>
    </w:p>
    <w:p w14:paraId="2AD548E2">
      <w:pPr>
        <w:widowControl w:val="0"/>
        <w:numPr>
          <w:ilvl w:val="2"/>
          <w:numId w:val="0"/>
        </w:numPr>
        <w:wordWrap/>
        <w:spacing w:line="360" w:lineRule="auto"/>
        <w:ind w:left="0" w:leftChars="0" w:firstLine="560" w:firstLineChars="200"/>
        <w:jc w:val="both"/>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zh-TW"/>
        </w:rPr>
        <w:t>2.支付改革技术支撑服务</w:t>
      </w:r>
    </w:p>
    <w:p w14:paraId="1FB94C72">
      <w:pPr>
        <w:widowControl w:val="0"/>
        <w:numPr>
          <w:ilvl w:val="2"/>
          <w:numId w:val="0"/>
        </w:numPr>
        <w:wordWrap/>
        <w:spacing w:line="360" w:lineRule="auto"/>
        <w:ind w:left="0" w:leftChars="0" w:firstLine="560" w:firstLineChars="200"/>
        <w:jc w:val="both"/>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zh-TW"/>
        </w:rPr>
        <w:t>医保支付方式改革项目的数据及政策调优工作主要包括五个方面：一是历史数据采集。依据国家结算清单标准，统一数据格式并确保采集质量。二是数据标化治理。按照医保编码规范清洗数据，形成标准化基础数据并反馈问题。三是分组测算调优。基于国家CHS-DRG 2.0方案调整本地细分组，建立动态调整机制并优化特殊病组设置。四是支付标准测算。结合分组方案和基金情况优化DRG权重与费率，分医院等级设定调整系数。五是政策辅助调优。协助医保部门根据DRG付费相关新政和工作要求，结合太原市DRG付费运行实际，研究完善DRG付费有关政策及配套工作机制；协助医保部门评估并优化康复病例、精神疾病等长期住院病例的按床日付费办法以及县域医疗集团打包付费办法，研究制定中医优势病种按病种付费办法，并积极探索建立门诊费用总额预付管理办法。</w:t>
      </w:r>
    </w:p>
    <w:p w14:paraId="2C40AEF6">
      <w:pPr>
        <w:widowControl w:val="0"/>
        <w:numPr>
          <w:ilvl w:val="2"/>
          <w:numId w:val="0"/>
        </w:numPr>
        <w:wordWrap/>
        <w:spacing w:line="360" w:lineRule="auto"/>
        <w:ind w:left="0" w:leftChars="0" w:firstLine="560" w:firstLineChars="200"/>
        <w:jc w:val="both"/>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zh-TW"/>
        </w:rPr>
        <w:t>3.DRG日常经办辅助服务</w:t>
      </w:r>
    </w:p>
    <w:p w14:paraId="169D058D">
      <w:pPr>
        <w:widowControl w:val="0"/>
        <w:numPr>
          <w:ilvl w:val="2"/>
          <w:numId w:val="0"/>
        </w:numPr>
        <w:wordWrap/>
        <w:spacing w:line="360" w:lineRule="auto"/>
        <w:ind w:left="0" w:leftChars="0" w:firstLine="560" w:firstLineChars="200"/>
        <w:jc w:val="both"/>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zh-TW"/>
        </w:rPr>
        <w:t>医保支付方式改革的日常运营工作主要包括七个方面：一是数据采集日常质控。通过系统+人工方式每日审核结算清单，督促医院整改问题数据。二是病例分组审核反馈。协助医保经办每月审核诊断与手术编码的合理性，抽检分组结果并受理医院调整申请。三是月度DRG基金结算。协助医保经办完成月度结算、对账及审核。四是运行配套工作机制。协助医保经办做好特病单议、数据工作组、协商谈判、预付金、意见收集等配套工作机制运行，完善并发挥配套工作机制作用。五是DRG付费年终清算。拟定清算方案并协助完成年度基金测算与反馈。六是定期数据运行分析。按季度、年度生成基金运行报告，分析绩效指标与医院盈亏。七是DRG专项业务培训。组织病案编码、结算政策等DRG付费培训，提升医保及医疗机构业务能力。</w:t>
      </w:r>
    </w:p>
    <w:p w14:paraId="5773AE4B">
      <w:pPr>
        <w:widowControl w:val="0"/>
        <w:wordWrap/>
        <w:spacing w:line="360" w:lineRule="auto"/>
        <w:ind w:left="0" w:firstLine="560" w:firstLineChars="200"/>
        <w:jc w:val="both"/>
        <w:rPr>
          <w:rFonts w:hint="eastAsia" w:asciiTheme="minorEastAsia" w:hAnsiTheme="minorEastAsia" w:eastAsiaTheme="minorEastAsia" w:cstheme="minorEastAsia"/>
          <w:color w:val="000000"/>
          <w:kern w:val="2"/>
          <w:sz w:val="28"/>
          <w:szCs w:val="28"/>
          <w:u w:val="none"/>
          <w:lang w:val="zh-TW" w:eastAsia="zh-TW" w:bidi="zh-TW"/>
        </w:rPr>
      </w:pPr>
      <w:r>
        <w:rPr>
          <w:rFonts w:hint="eastAsia" w:asciiTheme="minorEastAsia" w:hAnsiTheme="minorEastAsia" w:eastAsiaTheme="minorEastAsia" w:cstheme="minorEastAsia"/>
          <w:color w:val="000000"/>
          <w:kern w:val="2"/>
          <w:sz w:val="28"/>
          <w:szCs w:val="28"/>
          <w:u w:val="none"/>
          <w:lang w:val="zh-TW" w:eastAsia="zh-TW" w:bidi="zh-TW"/>
        </w:rPr>
        <w:t>1.2服务依据：</w:t>
      </w:r>
    </w:p>
    <w:p w14:paraId="1DF3A989">
      <w:pPr>
        <w:widowControl w:val="0"/>
        <w:wordWrap/>
        <w:spacing w:line="360" w:lineRule="auto"/>
        <w:ind w:left="0" w:firstLine="560" w:firstLineChars="200"/>
        <w:jc w:val="both"/>
        <w:rPr>
          <w:rFonts w:hint="eastAsia" w:asciiTheme="minorEastAsia" w:hAnsiTheme="minorEastAsia" w:eastAsiaTheme="minorEastAsia" w:cstheme="minorEastAsia"/>
          <w:color w:val="000000"/>
          <w:kern w:val="2"/>
          <w:sz w:val="28"/>
          <w:szCs w:val="28"/>
          <w:highlight w:val="none"/>
          <w:u w:val="non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1.2.</w:t>
      </w:r>
      <w:r>
        <w:rPr>
          <w:rFonts w:hint="eastAsia" w:asciiTheme="minorEastAsia" w:hAnsiTheme="minorEastAsia" w:eastAsiaTheme="minorEastAsia" w:cstheme="minorEastAsia"/>
          <w:color w:val="000000"/>
          <w:kern w:val="2"/>
          <w:sz w:val="28"/>
          <w:szCs w:val="28"/>
          <w:u w:val="none"/>
          <w:lang w:val="zh-TW" w:eastAsia="zh-TW" w:bidi="zh-TW"/>
        </w:rPr>
        <w:t>1</w:t>
      </w:r>
      <w:r>
        <w:rPr>
          <w:rFonts w:hint="eastAsia" w:asciiTheme="minorEastAsia" w:hAnsiTheme="minorEastAsia" w:eastAsiaTheme="minorEastAsia" w:cstheme="minorEastAsia"/>
          <w:color w:val="000000"/>
          <w:kern w:val="2"/>
          <w:sz w:val="28"/>
          <w:szCs w:val="28"/>
          <w:highlight w:val="none"/>
          <w:u w:val="none"/>
          <w:lang w:val="en-US" w:eastAsia="zh-CN" w:bidi="zh-TW"/>
        </w:rPr>
        <w:t>遵照《关于印发按病组和病种分值付费2.0版分组方案并深入推进相关工作的通知》（医保办发〔2024〕9号）、《关于下发2024年度全省DRG付费统一分组方案（CHS-DRG-SX2024）的通知》（晋医保办发〔2024〕10号）、《关于印发山西省DRG付费结算清算服务流程（试行）的通知》（晋医保办函〔2024〕29号）、《关于做好2025年医保支付方式改革有关工作的通知》（晋医保办发〔2025〕2号）等文件精神与工作要求，太原市医疗保障局根据《关于加快推进太原市医保支付方式改革工作的通知》（并医保发〔2023〕6号）等文件内容，为进一步深化太原市医保支付方式改革工作，拟通过采购招标方式引入一家第三方服务机构开展技术支持及经办服务，按照国家、省、市的相关要求，结合太原市医保实际情况，构建形成具备太原特色、适合太原参保患者特点、符合太原医疗技术水平的多元复合型支付方式，提高医保基金的使用效率，推进太原市支付方式改革精细化纵深发展。</w:t>
      </w:r>
    </w:p>
    <w:p w14:paraId="765073A5">
      <w:pPr>
        <w:widowControl w:val="0"/>
        <w:wordWrap/>
        <w:spacing w:line="360" w:lineRule="auto"/>
        <w:ind w:left="0" w:firstLine="660"/>
        <w:jc w:val="both"/>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b/>
          <w:bCs/>
          <w:color w:val="000000"/>
          <w:kern w:val="2"/>
          <w:sz w:val="28"/>
          <w:szCs w:val="28"/>
          <w:u w:val="none"/>
          <w:lang w:val="zh-TW" w:eastAsia="zh-TW" w:bidi="zh-TW"/>
        </w:rPr>
        <w:t>第二条</w:t>
      </w:r>
      <w:r>
        <w:rPr>
          <w:rFonts w:hint="eastAsia" w:asciiTheme="minorEastAsia" w:hAnsiTheme="minorEastAsia" w:eastAsiaTheme="minorEastAsia" w:cstheme="minorEastAsia"/>
          <w:b/>
          <w:bCs/>
          <w:color w:val="000000"/>
          <w:kern w:val="2"/>
          <w:sz w:val="28"/>
          <w:szCs w:val="28"/>
          <w:u w:val="none"/>
          <w:lang w:val="zh-TW" w:eastAsia="zh-CN" w:bidi="zh-TW"/>
        </w:rPr>
        <w:t xml:space="preserve"> </w:t>
      </w:r>
      <w:r>
        <w:rPr>
          <w:rFonts w:hint="eastAsia" w:asciiTheme="minorEastAsia" w:hAnsiTheme="minorEastAsia" w:eastAsiaTheme="minorEastAsia" w:cstheme="minorEastAsia"/>
          <w:b/>
          <w:bCs/>
          <w:color w:val="000000"/>
          <w:kern w:val="2"/>
          <w:sz w:val="28"/>
          <w:szCs w:val="28"/>
          <w:u w:val="none"/>
          <w:lang w:val="zh-TW" w:eastAsia="zh-TW" w:bidi="zh-TW"/>
        </w:rPr>
        <w:t>乙方应当按下列要求完成</w:t>
      </w:r>
      <w:r>
        <w:rPr>
          <w:rFonts w:hint="eastAsia" w:asciiTheme="minorEastAsia" w:hAnsiTheme="minorEastAsia" w:eastAsiaTheme="minorEastAsia" w:cstheme="minorEastAsia"/>
          <w:b/>
          <w:bCs/>
          <w:color w:val="000000"/>
          <w:kern w:val="2"/>
          <w:sz w:val="28"/>
          <w:szCs w:val="28"/>
          <w:u w:val="none"/>
          <w:lang w:val="en-US" w:eastAsia="zh-CN" w:bidi="zh-TW"/>
        </w:rPr>
        <w:t>项目</w:t>
      </w:r>
      <w:r>
        <w:rPr>
          <w:rFonts w:hint="eastAsia" w:asciiTheme="minorEastAsia" w:hAnsiTheme="minorEastAsia" w:eastAsiaTheme="minorEastAsia" w:cstheme="minorEastAsia"/>
          <w:b/>
          <w:bCs/>
          <w:color w:val="000000"/>
          <w:kern w:val="2"/>
          <w:sz w:val="28"/>
          <w:szCs w:val="28"/>
          <w:u w:val="none"/>
          <w:lang w:val="zh-TW" w:eastAsia="zh-TW" w:bidi="zh-TW"/>
        </w:rPr>
        <w:t>服务工作：</w:t>
      </w:r>
    </w:p>
    <w:p w14:paraId="585B2F9A">
      <w:pPr>
        <w:widowControl w:val="0"/>
        <w:wordWrap/>
        <w:spacing w:line="360" w:lineRule="auto"/>
        <w:ind w:left="0" w:firstLine="660"/>
        <w:jc w:val="both"/>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en-US"/>
        </w:rPr>
        <w:t>2.1</w:t>
      </w:r>
      <w:r>
        <w:rPr>
          <w:rFonts w:hint="eastAsia" w:asciiTheme="minorEastAsia" w:hAnsiTheme="minorEastAsia" w:eastAsiaTheme="minorEastAsia" w:cstheme="minorEastAsia"/>
          <w:color w:val="000000"/>
          <w:kern w:val="2"/>
          <w:sz w:val="28"/>
          <w:szCs w:val="28"/>
          <w:u w:val="none"/>
          <w:lang w:val="zh-TW" w:eastAsia="zh-TW" w:bidi="zh-TW"/>
        </w:rPr>
        <w:t>服务期限：</w:t>
      </w:r>
      <w:r>
        <w:rPr>
          <w:rFonts w:hint="eastAsia" w:asciiTheme="minorEastAsia" w:hAnsiTheme="minorEastAsia" w:eastAsiaTheme="minorEastAsia" w:cstheme="minorEastAsia"/>
          <w:color w:val="000000"/>
          <w:kern w:val="2"/>
          <w:sz w:val="28"/>
          <w:szCs w:val="28"/>
          <w:u w:val="none"/>
          <w:lang w:val="en-US" w:eastAsia="zh-CN" w:bidi="zh-TW"/>
        </w:rPr>
        <w:t>一年，以双方签订的合同约定时间为准。</w:t>
      </w:r>
    </w:p>
    <w:p w14:paraId="1EBEEC0E">
      <w:pPr>
        <w:widowControl w:val="0"/>
        <w:wordWrap/>
        <w:spacing w:line="360" w:lineRule="auto"/>
        <w:ind w:left="0" w:firstLine="660"/>
        <w:jc w:val="both"/>
        <w:rPr>
          <w:rFonts w:hint="eastAsia" w:asciiTheme="minorEastAsia" w:hAnsiTheme="minorEastAsia" w:eastAsiaTheme="minorEastAsia" w:cstheme="minorEastAsia"/>
          <w:color w:val="000000"/>
          <w:kern w:val="2"/>
          <w:sz w:val="28"/>
          <w:szCs w:val="28"/>
          <w:highlight w:val="none"/>
          <w:u w:val="none"/>
          <w:lang w:val="en-US" w:eastAsia="zh-CN" w:bidi="en-US"/>
        </w:rPr>
      </w:pPr>
      <w:r>
        <w:rPr>
          <w:rFonts w:hint="eastAsia" w:asciiTheme="minorEastAsia" w:hAnsiTheme="minorEastAsia" w:eastAsiaTheme="minorEastAsia" w:cstheme="minorEastAsia"/>
          <w:color w:val="000000"/>
          <w:kern w:val="2"/>
          <w:sz w:val="28"/>
          <w:szCs w:val="28"/>
          <w:highlight w:val="none"/>
          <w:u w:val="none"/>
          <w:lang w:val="en-US" w:eastAsia="zh-CN" w:bidi="en-US"/>
        </w:rPr>
        <w:t>2.2服务地点：太原市医疗保障局指定地点。</w:t>
      </w:r>
    </w:p>
    <w:p w14:paraId="00D90199">
      <w:pPr>
        <w:widowControl w:val="0"/>
        <w:wordWrap/>
        <w:spacing w:line="360" w:lineRule="auto"/>
        <w:ind w:left="0" w:firstLine="660"/>
        <w:jc w:val="both"/>
        <w:rPr>
          <w:rFonts w:hint="eastAsia" w:asciiTheme="minorEastAsia" w:hAnsiTheme="minorEastAsia" w:eastAsiaTheme="minorEastAsia" w:cstheme="minorEastAsia"/>
          <w:color w:val="000000"/>
          <w:kern w:val="2"/>
          <w:sz w:val="28"/>
          <w:szCs w:val="28"/>
          <w:u w:val="none"/>
          <w:lang w:val="en-US" w:eastAsia="zh-CN" w:bidi="en-US"/>
        </w:rPr>
      </w:pPr>
      <w:bookmarkStart w:id="50" w:name="bookmark8"/>
      <w:bookmarkEnd w:id="50"/>
      <w:r>
        <w:rPr>
          <w:rFonts w:hint="eastAsia" w:asciiTheme="minorEastAsia" w:hAnsiTheme="minorEastAsia" w:eastAsiaTheme="minorEastAsia" w:cstheme="minorEastAsia"/>
          <w:color w:val="000000"/>
          <w:kern w:val="2"/>
          <w:sz w:val="28"/>
          <w:szCs w:val="28"/>
          <w:u w:val="none"/>
          <w:lang w:val="en-US" w:eastAsia="zh-CN" w:bidi="en-US"/>
        </w:rPr>
        <w:t>2.3服务标准：符合国家、行业、地方政府有关法律法规及技术规范要求。</w:t>
      </w:r>
    </w:p>
    <w:p w14:paraId="112DECED">
      <w:pPr>
        <w:widowControl w:val="0"/>
        <w:wordWrap/>
        <w:spacing w:line="360" w:lineRule="auto"/>
        <w:ind w:left="0" w:firstLine="660"/>
        <w:jc w:val="both"/>
        <w:rPr>
          <w:rFonts w:hint="eastAsia" w:asciiTheme="minorEastAsia" w:hAnsiTheme="minorEastAsia" w:eastAsiaTheme="minorEastAsia" w:cstheme="minorEastAsia"/>
          <w:color w:val="000000"/>
          <w:kern w:val="2"/>
          <w:sz w:val="28"/>
          <w:szCs w:val="28"/>
          <w:highlight w:val="none"/>
          <w:u w:val="none"/>
          <w:lang w:val="en-US" w:eastAsia="zh-CN" w:bidi="en-US"/>
        </w:rPr>
      </w:pPr>
      <w:r>
        <w:rPr>
          <w:rFonts w:hint="eastAsia" w:asciiTheme="minorEastAsia" w:hAnsiTheme="minorEastAsia" w:eastAsiaTheme="minorEastAsia" w:cstheme="minorEastAsia"/>
          <w:color w:val="000000"/>
          <w:kern w:val="2"/>
          <w:sz w:val="28"/>
          <w:szCs w:val="28"/>
          <w:highlight w:val="none"/>
          <w:u w:val="none"/>
          <w:lang w:val="en-US" w:eastAsia="zh-CN" w:bidi="en-US"/>
        </w:rPr>
        <w:t>2.4履约保证金：本项目不收取履约保证金。</w:t>
      </w:r>
    </w:p>
    <w:p w14:paraId="0963A25D">
      <w:pPr>
        <w:widowControl w:val="0"/>
        <w:wordWrap/>
        <w:spacing w:line="360" w:lineRule="auto"/>
        <w:ind w:left="0" w:firstLine="660"/>
        <w:jc w:val="both"/>
        <w:rPr>
          <w:rFonts w:hint="eastAsia" w:asciiTheme="minorEastAsia" w:hAnsiTheme="minorEastAsia" w:eastAsiaTheme="minorEastAsia" w:cstheme="minorEastAsia"/>
          <w:color w:val="000000"/>
          <w:kern w:val="2"/>
          <w:sz w:val="28"/>
          <w:szCs w:val="28"/>
          <w:highlight w:val="none"/>
          <w:u w:val="none"/>
          <w:lang w:val="en-US" w:eastAsia="zh-CN" w:bidi="en-US"/>
        </w:rPr>
      </w:pPr>
      <w:r>
        <w:rPr>
          <w:rFonts w:hint="eastAsia" w:asciiTheme="minorEastAsia" w:hAnsiTheme="minorEastAsia" w:eastAsiaTheme="minorEastAsia" w:cstheme="minorEastAsia"/>
          <w:color w:val="000000"/>
          <w:kern w:val="2"/>
          <w:sz w:val="28"/>
          <w:szCs w:val="28"/>
          <w:highlight w:val="none"/>
          <w:u w:val="none"/>
          <w:lang w:val="en-US" w:eastAsia="zh-CN" w:bidi="en-US"/>
        </w:rPr>
        <w:t>2.5验收要求：甲方自行组织或委托第三方机构邀请相关行业技术专家进行验收。验收结束后填写“合同履约情况验收报告”，并由验收双方共同签署。</w:t>
      </w:r>
    </w:p>
    <w:p w14:paraId="40325CA1">
      <w:pPr>
        <w:widowControl w:val="0"/>
        <w:wordWrap/>
        <w:spacing w:line="360" w:lineRule="auto"/>
        <w:ind w:left="0" w:firstLine="620"/>
        <w:jc w:val="both"/>
        <w:rPr>
          <w:rFonts w:hint="eastAsia" w:asciiTheme="minorEastAsia" w:hAnsiTheme="minorEastAsia" w:eastAsiaTheme="minorEastAsia" w:cstheme="minorEastAsia"/>
          <w:kern w:val="2"/>
          <w:sz w:val="28"/>
          <w:szCs w:val="28"/>
          <w:u w:val="single"/>
          <w:lang w:val="zh-TW" w:eastAsia="zh-TW" w:bidi="zh-TW"/>
        </w:rPr>
      </w:pPr>
      <w:bookmarkStart w:id="51" w:name="bookmark10"/>
      <w:bookmarkEnd w:id="51"/>
      <w:r>
        <w:rPr>
          <w:rFonts w:hint="eastAsia" w:asciiTheme="minorEastAsia" w:hAnsiTheme="minorEastAsia" w:eastAsiaTheme="minorEastAsia" w:cstheme="minorEastAsia"/>
          <w:b/>
          <w:bCs/>
          <w:color w:val="000000"/>
          <w:kern w:val="2"/>
          <w:sz w:val="28"/>
          <w:szCs w:val="28"/>
          <w:u w:val="none"/>
          <w:lang w:val="zh-TW" w:eastAsia="zh-TW" w:bidi="zh-TW"/>
        </w:rPr>
        <w:t>第三条</w:t>
      </w:r>
      <w:r>
        <w:rPr>
          <w:rFonts w:hint="eastAsia" w:asciiTheme="minorEastAsia" w:hAnsiTheme="minorEastAsia" w:eastAsiaTheme="minorEastAsia" w:cstheme="minorEastAsia"/>
          <w:b/>
          <w:bCs/>
          <w:color w:val="000000"/>
          <w:kern w:val="2"/>
          <w:sz w:val="28"/>
          <w:szCs w:val="28"/>
          <w:u w:val="none"/>
          <w:lang w:val="zh-TW" w:eastAsia="zh-CN" w:bidi="zh-TW"/>
        </w:rPr>
        <w:t xml:space="preserve"> </w:t>
      </w:r>
      <w:r>
        <w:rPr>
          <w:rFonts w:hint="eastAsia" w:asciiTheme="minorEastAsia" w:hAnsiTheme="minorEastAsia" w:eastAsiaTheme="minorEastAsia" w:cstheme="minorEastAsia"/>
          <w:b/>
          <w:bCs/>
          <w:color w:val="000000"/>
          <w:kern w:val="2"/>
          <w:sz w:val="28"/>
          <w:szCs w:val="28"/>
          <w:u w:val="none"/>
          <w:lang w:val="zh-TW" w:eastAsia="zh-TW" w:bidi="zh-TW"/>
        </w:rPr>
        <w:t>为保证乙方有效进行</w:t>
      </w:r>
      <w:r>
        <w:rPr>
          <w:rFonts w:hint="eastAsia" w:asciiTheme="minorEastAsia" w:hAnsiTheme="minorEastAsia" w:eastAsiaTheme="minorEastAsia" w:cstheme="minorEastAsia"/>
          <w:b/>
          <w:bCs/>
          <w:color w:val="000000"/>
          <w:kern w:val="2"/>
          <w:sz w:val="28"/>
          <w:szCs w:val="28"/>
          <w:u w:val="none"/>
          <w:lang w:val="en-US" w:eastAsia="zh-CN" w:bidi="zh-TW"/>
        </w:rPr>
        <w:t>项目</w:t>
      </w:r>
      <w:r>
        <w:rPr>
          <w:rFonts w:hint="eastAsia" w:asciiTheme="minorEastAsia" w:hAnsiTheme="minorEastAsia" w:eastAsiaTheme="minorEastAsia" w:cstheme="minorEastAsia"/>
          <w:b/>
          <w:bCs/>
          <w:color w:val="000000"/>
          <w:kern w:val="2"/>
          <w:sz w:val="28"/>
          <w:szCs w:val="28"/>
          <w:u w:val="none"/>
          <w:lang w:val="zh-TW" w:eastAsia="zh-TW" w:bidi="zh-TW"/>
        </w:rPr>
        <w:t>服务工作，甲方应当向乙方提供下列工作条件和协作事项：</w:t>
      </w:r>
    </w:p>
    <w:p w14:paraId="33803856">
      <w:pPr>
        <w:widowControl w:val="0"/>
        <w:wordWrap/>
        <w:spacing w:line="360" w:lineRule="auto"/>
        <w:ind w:left="0" w:firstLine="620"/>
        <w:jc w:val="both"/>
        <w:outlineLvl w:val="0"/>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3.1</w:t>
      </w:r>
      <w:r>
        <w:rPr>
          <w:rFonts w:hint="eastAsia" w:asciiTheme="minorEastAsia" w:hAnsiTheme="minorEastAsia" w:eastAsiaTheme="minorEastAsia" w:cstheme="minorEastAsia"/>
          <w:color w:val="000000"/>
          <w:kern w:val="2"/>
          <w:sz w:val="28"/>
          <w:szCs w:val="28"/>
          <w:u w:val="none"/>
          <w:lang w:val="zh-TW" w:eastAsia="zh-TW" w:bidi="zh-TW"/>
        </w:rPr>
        <w:t>提供技术资料：</w:t>
      </w:r>
    </w:p>
    <w:p w14:paraId="7E43E2B3">
      <w:pPr>
        <w:widowControl w:val="0"/>
        <w:wordWrap/>
        <w:spacing w:line="360" w:lineRule="auto"/>
        <w:ind w:left="0" w:firstLine="580"/>
        <w:jc w:val="both"/>
        <w:outlineLvl w:val="1"/>
        <w:rPr>
          <w:rFonts w:hint="eastAsia" w:asciiTheme="minorEastAsia" w:hAnsiTheme="minorEastAsia" w:eastAsiaTheme="minorEastAsia" w:cstheme="minorEastAsia"/>
          <w:color w:val="000000"/>
          <w:kern w:val="2"/>
          <w:sz w:val="28"/>
          <w:szCs w:val="28"/>
          <w:u w:val="none"/>
          <w:lang w:val="en-US" w:eastAsia="zh-CN" w:bidi="zh-TW"/>
        </w:rPr>
      </w:pPr>
      <w:r>
        <w:rPr>
          <w:rFonts w:hint="eastAsia" w:asciiTheme="minorEastAsia" w:hAnsiTheme="minorEastAsia" w:eastAsiaTheme="minorEastAsia" w:cstheme="minorEastAsia"/>
          <w:color w:val="000000"/>
          <w:kern w:val="2"/>
          <w:sz w:val="28"/>
          <w:szCs w:val="28"/>
          <w:u w:val="none"/>
          <w:lang w:val="en-US" w:eastAsia="zh-CN" w:bidi="en-US"/>
        </w:rPr>
        <w:t>3.1.1</w:t>
      </w:r>
      <w:r>
        <w:rPr>
          <w:rFonts w:hint="eastAsia" w:asciiTheme="minorEastAsia" w:hAnsiTheme="minorEastAsia" w:eastAsiaTheme="minorEastAsia" w:cstheme="minorEastAsia"/>
          <w:color w:val="000000"/>
          <w:kern w:val="2"/>
          <w:sz w:val="28"/>
          <w:szCs w:val="28"/>
          <w:u w:val="none"/>
          <w:lang w:val="zh-TW" w:eastAsia="zh-TW" w:bidi="zh-TW"/>
        </w:rPr>
        <w:t>项目实施所需的医保相关政策文件</w:t>
      </w:r>
      <w:r>
        <w:rPr>
          <w:rFonts w:hint="eastAsia" w:asciiTheme="minorEastAsia" w:hAnsiTheme="minorEastAsia" w:eastAsiaTheme="minorEastAsia" w:cstheme="minorEastAsia"/>
          <w:color w:val="000000"/>
          <w:kern w:val="2"/>
          <w:sz w:val="28"/>
          <w:szCs w:val="28"/>
          <w:u w:val="none"/>
          <w:lang w:val="zh-TW" w:eastAsia="zh-CN" w:bidi="zh-TW"/>
        </w:rPr>
        <w:t>；</w:t>
      </w:r>
      <w:r>
        <w:rPr>
          <w:rFonts w:hint="eastAsia" w:asciiTheme="minorEastAsia" w:hAnsiTheme="minorEastAsia" w:eastAsiaTheme="minorEastAsia" w:cstheme="minorEastAsia"/>
          <w:color w:val="000000"/>
          <w:kern w:val="2"/>
          <w:sz w:val="28"/>
          <w:szCs w:val="28"/>
          <w:u w:val="none"/>
          <w:lang w:val="en-US" w:eastAsia="zh-CN" w:bidi="zh-TW"/>
        </w:rPr>
        <w:t xml:space="preserve"> </w:t>
      </w:r>
    </w:p>
    <w:p w14:paraId="65C482EB">
      <w:pPr>
        <w:widowControl w:val="0"/>
        <w:wordWrap/>
        <w:spacing w:line="360" w:lineRule="auto"/>
        <w:ind w:left="0" w:firstLine="580"/>
        <w:jc w:val="both"/>
        <w:outlineLvl w:val="1"/>
        <w:rPr>
          <w:rFonts w:hint="eastAsia" w:asciiTheme="minorEastAsia" w:hAnsiTheme="minorEastAsia" w:eastAsiaTheme="minorEastAsia" w:cstheme="minorEastAsia"/>
          <w:kern w:val="2"/>
          <w:sz w:val="28"/>
          <w:szCs w:val="28"/>
          <w:u w:val="none"/>
          <w:lang w:val="en-US" w:eastAsia="zh-CN" w:bidi="en-US"/>
        </w:rPr>
      </w:pPr>
      <w:r>
        <w:rPr>
          <w:rFonts w:hint="eastAsia" w:asciiTheme="minorEastAsia" w:hAnsiTheme="minorEastAsia" w:eastAsiaTheme="minorEastAsia" w:cstheme="minorEastAsia"/>
          <w:color w:val="000000"/>
          <w:kern w:val="2"/>
          <w:sz w:val="28"/>
          <w:szCs w:val="28"/>
          <w:u w:val="none"/>
          <w:lang w:val="en-US" w:eastAsia="zh-CN" w:bidi="en-US"/>
        </w:rPr>
        <w:t>3.1.2项目实施所需的医疗、医保数据及其他相关数据；</w:t>
      </w:r>
    </w:p>
    <w:p w14:paraId="1050F9C1">
      <w:pPr>
        <w:widowControl w:val="0"/>
        <w:tabs>
          <w:tab w:val="left" w:pos="962"/>
        </w:tabs>
        <w:wordWrap/>
        <w:spacing w:line="360" w:lineRule="auto"/>
        <w:jc w:val="both"/>
        <w:outlineLvl w:val="0"/>
        <w:rPr>
          <w:rFonts w:hint="eastAsia" w:asciiTheme="minorEastAsia" w:hAnsiTheme="minorEastAsia" w:eastAsiaTheme="minorEastAsia" w:cstheme="minorEastAsia"/>
          <w:kern w:val="2"/>
          <w:sz w:val="28"/>
          <w:szCs w:val="28"/>
          <w:u w:val="single"/>
          <w:lang w:val="zh-TW" w:eastAsia="zh-TW" w:bidi="zh-TW"/>
        </w:rPr>
      </w:pPr>
      <w:bookmarkStart w:id="52" w:name="bookmark11"/>
      <w:bookmarkEnd w:id="52"/>
      <w:r>
        <w:rPr>
          <w:rFonts w:hint="eastAsia" w:asciiTheme="minorEastAsia" w:hAnsiTheme="minorEastAsia" w:eastAsiaTheme="minorEastAsia" w:cstheme="minorEastAsia"/>
          <w:color w:val="000000"/>
          <w:kern w:val="2"/>
          <w:sz w:val="28"/>
          <w:szCs w:val="28"/>
          <w:u w:val="none"/>
          <w:lang w:val="en-US" w:eastAsia="zh-CN" w:bidi="zh-TW"/>
        </w:rPr>
        <w:t>3.</w:t>
      </w:r>
      <w:r>
        <w:rPr>
          <w:rFonts w:hint="eastAsia" w:asciiTheme="minorEastAsia" w:hAnsiTheme="minorEastAsia" w:eastAsiaTheme="minorEastAsia" w:cstheme="minorEastAsia"/>
          <w:color w:val="000000"/>
          <w:kern w:val="2"/>
          <w:sz w:val="28"/>
          <w:szCs w:val="28"/>
          <w:u w:val="none"/>
          <w:lang w:val="zh-TW" w:eastAsia="zh-TW" w:bidi="zh-TW"/>
        </w:rPr>
        <w:t>2提供工作条件：</w:t>
      </w:r>
    </w:p>
    <w:p w14:paraId="0EB4399D">
      <w:pPr>
        <w:widowControl w:val="0"/>
        <w:tabs>
          <w:tab w:val="left" w:pos="1282"/>
        </w:tabs>
        <w:wordWrap/>
        <w:spacing w:line="360" w:lineRule="auto"/>
        <w:ind w:firstLine="560" w:firstLineChars="200"/>
        <w:jc w:val="left"/>
        <w:rPr>
          <w:rFonts w:hint="eastAsia" w:asciiTheme="minorEastAsia" w:hAnsiTheme="minorEastAsia" w:eastAsiaTheme="minorEastAsia" w:cstheme="minorEastAsia"/>
          <w:kern w:val="2"/>
          <w:sz w:val="28"/>
          <w:szCs w:val="28"/>
          <w:u w:val="none"/>
          <w:lang w:val="zh-TW" w:eastAsia="zh-TW" w:bidi="zh-TW"/>
        </w:rPr>
      </w:pPr>
      <w:bookmarkStart w:id="53" w:name="bookmark12"/>
      <w:bookmarkEnd w:id="53"/>
      <w:r>
        <w:rPr>
          <w:rFonts w:hint="eastAsia" w:asciiTheme="minorEastAsia" w:hAnsiTheme="minorEastAsia" w:eastAsiaTheme="minorEastAsia" w:cstheme="minorEastAsia"/>
          <w:color w:val="000000"/>
          <w:kern w:val="2"/>
          <w:sz w:val="28"/>
          <w:szCs w:val="28"/>
          <w:u w:val="none"/>
          <w:lang w:val="en-US" w:eastAsia="zh-CN" w:bidi="en-US"/>
        </w:rPr>
        <w:t>3.2.1</w:t>
      </w:r>
      <w:r>
        <w:rPr>
          <w:rFonts w:hint="eastAsia" w:asciiTheme="minorEastAsia" w:hAnsiTheme="minorEastAsia" w:eastAsiaTheme="minorEastAsia" w:cstheme="minorEastAsia"/>
          <w:color w:val="000000"/>
          <w:kern w:val="2"/>
          <w:sz w:val="28"/>
          <w:szCs w:val="28"/>
          <w:u w:val="none"/>
          <w:lang w:val="zh-TW" w:eastAsia="zh-TW" w:bidi="zh-TW"/>
        </w:rPr>
        <w:t>为驻场人员提供驻点服务场所；</w:t>
      </w:r>
      <w:bookmarkStart w:id="54" w:name="bookmark13"/>
      <w:bookmarkEnd w:id="54"/>
    </w:p>
    <w:p w14:paraId="1768466D">
      <w:pPr>
        <w:widowControl w:val="0"/>
        <w:tabs>
          <w:tab w:val="left" w:pos="1282"/>
        </w:tabs>
        <w:wordWrap/>
        <w:spacing w:line="360" w:lineRule="auto"/>
        <w:ind w:firstLine="560" w:firstLineChars="200"/>
        <w:jc w:val="left"/>
        <w:rPr>
          <w:rFonts w:hint="eastAsia" w:asciiTheme="minorEastAsia" w:hAnsiTheme="minorEastAsia" w:eastAsiaTheme="minorEastAsia" w:cstheme="minorEastAsia"/>
          <w:color w:val="000000"/>
          <w:kern w:val="2"/>
          <w:sz w:val="28"/>
          <w:szCs w:val="28"/>
          <w:u w:val="non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3.2.</w:t>
      </w:r>
      <w:r>
        <w:rPr>
          <w:rFonts w:hint="eastAsia" w:asciiTheme="minorEastAsia" w:hAnsiTheme="minorEastAsia" w:eastAsiaTheme="minorEastAsia" w:cstheme="minorEastAsia"/>
          <w:color w:val="000000"/>
          <w:kern w:val="2"/>
          <w:sz w:val="28"/>
          <w:szCs w:val="28"/>
          <w:u w:val="none"/>
          <w:lang w:val="zh-TW" w:eastAsia="zh-TW" w:bidi="zh-TW"/>
        </w:rPr>
        <w:t>2组织</w:t>
      </w:r>
      <w:r>
        <w:rPr>
          <w:rFonts w:hint="eastAsia" w:asciiTheme="minorEastAsia" w:hAnsiTheme="minorEastAsia" w:eastAsiaTheme="minorEastAsia" w:cstheme="minorEastAsia"/>
          <w:color w:val="000000"/>
          <w:kern w:val="2"/>
          <w:sz w:val="28"/>
          <w:szCs w:val="28"/>
          <w:u w:val="none"/>
          <w:lang w:val="zh-TW" w:eastAsia="zh-CN" w:bidi="zh-TW"/>
        </w:rPr>
        <w:t>、</w:t>
      </w:r>
      <w:r>
        <w:rPr>
          <w:rFonts w:hint="eastAsia" w:asciiTheme="minorEastAsia" w:hAnsiTheme="minorEastAsia" w:eastAsiaTheme="minorEastAsia" w:cstheme="minorEastAsia"/>
          <w:color w:val="000000"/>
          <w:kern w:val="2"/>
          <w:sz w:val="28"/>
          <w:szCs w:val="28"/>
          <w:u w:val="none"/>
          <w:lang w:val="zh-TW" w:eastAsia="zh-TW" w:bidi="zh-TW"/>
        </w:rPr>
        <w:t>协调</w:t>
      </w:r>
      <w:r>
        <w:rPr>
          <w:rFonts w:hint="eastAsia" w:asciiTheme="minorEastAsia" w:hAnsiTheme="minorEastAsia" w:eastAsiaTheme="minorEastAsia" w:cstheme="minorEastAsia"/>
          <w:color w:val="000000"/>
          <w:kern w:val="2"/>
          <w:sz w:val="28"/>
          <w:szCs w:val="28"/>
          <w:u w:val="none"/>
          <w:lang w:val="en-US" w:eastAsia="zh-CN" w:bidi="zh-TW"/>
        </w:rPr>
        <w:t>定点</w:t>
      </w:r>
      <w:r>
        <w:rPr>
          <w:rFonts w:hint="eastAsia" w:asciiTheme="minorEastAsia" w:hAnsiTheme="minorEastAsia" w:eastAsiaTheme="minorEastAsia" w:cstheme="minorEastAsia"/>
          <w:color w:val="000000"/>
          <w:kern w:val="2"/>
          <w:sz w:val="28"/>
          <w:szCs w:val="28"/>
          <w:u w:val="none"/>
          <w:lang w:val="zh-TW" w:eastAsia="zh-TW" w:bidi="zh-TW"/>
        </w:rPr>
        <w:t>医疗机构、</w:t>
      </w:r>
      <w:r>
        <w:rPr>
          <w:rFonts w:hint="eastAsia" w:asciiTheme="minorEastAsia" w:hAnsiTheme="minorEastAsia" w:eastAsiaTheme="minorEastAsia" w:cstheme="minorEastAsia"/>
          <w:color w:val="000000"/>
          <w:kern w:val="2"/>
          <w:sz w:val="28"/>
          <w:szCs w:val="28"/>
          <w:u w:val="none"/>
          <w:lang w:val="en-US" w:eastAsia="zh-CN" w:bidi="zh-TW"/>
        </w:rPr>
        <w:t>医保</w:t>
      </w:r>
      <w:r>
        <w:rPr>
          <w:rFonts w:hint="eastAsia" w:asciiTheme="minorEastAsia" w:hAnsiTheme="minorEastAsia" w:eastAsiaTheme="minorEastAsia" w:cstheme="minorEastAsia"/>
          <w:color w:val="000000"/>
          <w:kern w:val="2"/>
          <w:sz w:val="28"/>
          <w:szCs w:val="28"/>
          <w:u w:val="none"/>
          <w:lang w:val="zh-TW" w:eastAsia="zh-TW" w:bidi="zh-TW"/>
        </w:rPr>
        <w:t>经办机构等相关部门与乙方做好工作衔接；</w:t>
      </w:r>
    </w:p>
    <w:p w14:paraId="41EEA0A3">
      <w:pPr>
        <w:widowControl w:val="0"/>
        <w:tabs>
          <w:tab w:val="left" w:pos="1282"/>
        </w:tabs>
        <w:wordWrap/>
        <w:spacing w:line="360" w:lineRule="auto"/>
        <w:ind w:firstLine="560" w:firstLineChars="200"/>
        <w:jc w:val="left"/>
        <w:rPr>
          <w:rFonts w:hint="eastAsia" w:asciiTheme="minorEastAsia" w:hAnsiTheme="minorEastAsia" w:eastAsiaTheme="minorEastAsia" w:cstheme="minorEastAsia"/>
          <w:color w:val="000000"/>
          <w:kern w:val="2"/>
          <w:sz w:val="28"/>
          <w:szCs w:val="28"/>
          <w:u w:val="none"/>
          <w:lang w:val="zh-TW" w:eastAsia="zh-TW" w:bidi="zh-TW"/>
        </w:rPr>
      </w:pPr>
      <w:r>
        <w:rPr>
          <w:rFonts w:hint="eastAsia" w:asciiTheme="minorEastAsia" w:hAnsiTheme="minorEastAsia" w:eastAsiaTheme="minorEastAsia" w:cstheme="minorEastAsia"/>
          <w:color w:val="000000"/>
          <w:kern w:val="2"/>
          <w:sz w:val="28"/>
          <w:szCs w:val="28"/>
          <w:u w:val="none"/>
          <w:lang w:val="zh-TW" w:eastAsia="zh-TW" w:bidi="zh-TW"/>
        </w:rPr>
        <w:t>3.2.3组织、协调项目可能涉及的医保、医院信息系统供应商与乙方配合共同完成系统</w:t>
      </w:r>
      <w:r>
        <w:rPr>
          <w:rFonts w:hint="eastAsia" w:asciiTheme="minorEastAsia" w:hAnsiTheme="minorEastAsia" w:eastAsiaTheme="minorEastAsia" w:cstheme="minorEastAsia"/>
          <w:color w:val="000000"/>
          <w:kern w:val="2"/>
          <w:sz w:val="28"/>
          <w:szCs w:val="28"/>
          <w:u w:val="none"/>
          <w:lang w:val="en-US" w:eastAsia="zh-CN" w:bidi="zh-TW"/>
        </w:rPr>
        <w:t>运维</w:t>
      </w:r>
      <w:r>
        <w:rPr>
          <w:rFonts w:hint="eastAsia" w:asciiTheme="minorEastAsia" w:hAnsiTheme="minorEastAsia" w:eastAsiaTheme="minorEastAsia" w:cstheme="minorEastAsia"/>
          <w:color w:val="000000"/>
          <w:kern w:val="2"/>
          <w:sz w:val="28"/>
          <w:szCs w:val="28"/>
          <w:u w:val="none"/>
          <w:lang w:val="zh-TW" w:eastAsia="zh-TW" w:bidi="zh-TW"/>
        </w:rPr>
        <w:t>等工作；</w:t>
      </w:r>
    </w:p>
    <w:p w14:paraId="4AC8FB1B">
      <w:pPr>
        <w:widowControl w:val="0"/>
        <w:tabs>
          <w:tab w:val="left" w:pos="1282"/>
        </w:tabs>
        <w:wordWrap/>
        <w:spacing w:line="360" w:lineRule="auto"/>
        <w:ind w:firstLine="560" w:firstLineChars="200"/>
        <w:jc w:val="left"/>
        <w:rPr>
          <w:rFonts w:hint="eastAsia" w:asciiTheme="minorEastAsia" w:hAnsiTheme="minorEastAsia" w:eastAsiaTheme="minorEastAsia" w:cstheme="minorEastAsia"/>
          <w:color w:val="000000"/>
          <w:kern w:val="2"/>
          <w:sz w:val="28"/>
          <w:szCs w:val="28"/>
          <w:u w:val="none"/>
          <w:lang w:val="zh-TW" w:eastAsia="zh-TW" w:bidi="zh-TW"/>
        </w:rPr>
      </w:pPr>
      <w:r>
        <w:rPr>
          <w:rFonts w:hint="eastAsia" w:asciiTheme="minorEastAsia" w:hAnsiTheme="minorEastAsia" w:eastAsiaTheme="minorEastAsia" w:cstheme="minorEastAsia"/>
          <w:color w:val="000000"/>
          <w:kern w:val="2"/>
          <w:sz w:val="28"/>
          <w:szCs w:val="28"/>
          <w:u w:val="none"/>
          <w:lang w:val="zh-TW" w:eastAsia="zh-TW" w:bidi="zh-TW"/>
        </w:rPr>
        <w:t>3.3甲方提供上述工作条件和协作事项的时间及方式：</w:t>
      </w:r>
    </w:p>
    <w:p w14:paraId="550AA965">
      <w:pPr>
        <w:widowControl w:val="0"/>
        <w:tabs>
          <w:tab w:val="left" w:pos="1282"/>
        </w:tabs>
        <w:wordWrap/>
        <w:spacing w:line="360" w:lineRule="auto"/>
        <w:ind w:firstLine="560" w:firstLineChars="200"/>
        <w:jc w:val="left"/>
        <w:rPr>
          <w:rFonts w:hint="eastAsia" w:asciiTheme="minorEastAsia" w:hAnsiTheme="minorEastAsia" w:eastAsiaTheme="minorEastAsia" w:cstheme="minorEastAsia"/>
          <w:kern w:val="2"/>
          <w:sz w:val="28"/>
          <w:szCs w:val="28"/>
          <w:u w:val="none"/>
          <w:lang w:val="zh-TW" w:eastAsia="zh-TW" w:bidi="zh-TW"/>
        </w:rPr>
      </w:pPr>
      <w:r>
        <w:rPr>
          <w:rFonts w:hint="eastAsia" w:asciiTheme="minorEastAsia" w:hAnsiTheme="minorEastAsia" w:eastAsiaTheme="minorEastAsia" w:cstheme="minorEastAsia"/>
          <w:color w:val="000000"/>
          <w:kern w:val="2"/>
          <w:sz w:val="28"/>
          <w:szCs w:val="28"/>
          <w:u w:val="none"/>
          <w:lang w:val="zh-TW" w:eastAsia="zh-TW" w:bidi="zh-TW"/>
        </w:rPr>
        <w:t>在项目正式启动前提供相关政策文件资料及完成驻点场所安排，在实施过程中，根据工作需要，阶段性提供相关资料及授权文件。</w:t>
      </w:r>
    </w:p>
    <w:p w14:paraId="2BB040C7">
      <w:pPr>
        <w:widowControl w:val="0"/>
        <w:wordWrap/>
        <w:spacing w:line="360" w:lineRule="auto"/>
        <w:ind w:left="0" w:firstLine="620"/>
        <w:jc w:val="left"/>
        <w:rPr>
          <w:rFonts w:hint="eastAsia" w:asciiTheme="minorEastAsia" w:hAnsiTheme="minorEastAsia" w:eastAsiaTheme="minorEastAsia" w:cstheme="minorEastAsia"/>
          <w:b/>
          <w:bCs/>
          <w:color w:val="000000"/>
          <w:kern w:val="2"/>
          <w:sz w:val="28"/>
          <w:szCs w:val="28"/>
          <w:u w:val="none"/>
          <w:lang w:val="zh-TW" w:eastAsia="zh-TW" w:bidi="zh-TW"/>
        </w:rPr>
      </w:pPr>
      <w:bookmarkStart w:id="55" w:name="bookmark14"/>
      <w:bookmarkEnd w:id="55"/>
      <w:bookmarkStart w:id="56" w:name="bookmark17"/>
      <w:bookmarkStart w:id="57" w:name="bookmark15"/>
      <w:bookmarkStart w:id="58" w:name="bookmark16"/>
      <w:r>
        <w:rPr>
          <w:rFonts w:hint="eastAsia" w:asciiTheme="minorEastAsia" w:hAnsiTheme="minorEastAsia" w:eastAsiaTheme="minorEastAsia" w:cstheme="minorEastAsia"/>
          <w:b/>
          <w:bCs/>
          <w:color w:val="000000"/>
          <w:kern w:val="2"/>
          <w:sz w:val="28"/>
          <w:szCs w:val="28"/>
          <w:u w:val="none"/>
          <w:lang w:val="zh-TW" w:eastAsia="zh-TW" w:bidi="zh-TW"/>
        </w:rPr>
        <w:t>第四条</w:t>
      </w:r>
      <w:r>
        <w:rPr>
          <w:rFonts w:hint="eastAsia" w:asciiTheme="minorEastAsia" w:hAnsiTheme="minorEastAsia" w:eastAsiaTheme="minorEastAsia" w:cstheme="minorEastAsia"/>
          <w:b/>
          <w:bCs/>
          <w:color w:val="000000"/>
          <w:kern w:val="2"/>
          <w:sz w:val="28"/>
          <w:szCs w:val="28"/>
          <w:u w:val="none"/>
          <w:lang w:val="zh-TW" w:eastAsia="zh-CN" w:bidi="zh-TW"/>
        </w:rPr>
        <w:t xml:space="preserve"> </w:t>
      </w:r>
      <w:r>
        <w:rPr>
          <w:rFonts w:hint="eastAsia" w:asciiTheme="minorEastAsia" w:hAnsiTheme="minorEastAsia" w:eastAsiaTheme="minorEastAsia" w:cstheme="minorEastAsia"/>
          <w:b/>
          <w:bCs/>
          <w:color w:val="000000"/>
          <w:kern w:val="2"/>
          <w:sz w:val="28"/>
          <w:szCs w:val="28"/>
          <w:u w:val="none"/>
          <w:lang w:val="zh-TW" w:eastAsia="zh-TW" w:bidi="zh-TW"/>
        </w:rPr>
        <w:t>甲方向乙方支付服务费及</w:t>
      </w:r>
      <w:r>
        <w:rPr>
          <w:rFonts w:hint="eastAsia" w:asciiTheme="minorEastAsia" w:hAnsiTheme="minorEastAsia" w:eastAsiaTheme="minorEastAsia" w:cstheme="minorEastAsia"/>
          <w:b/>
          <w:bCs/>
          <w:color w:val="000000"/>
          <w:kern w:val="2"/>
          <w:sz w:val="28"/>
          <w:szCs w:val="28"/>
          <w:u w:val="none"/>
          <w:lang w:val="en-US" w:eastAsia="zh-CN" w:bidi="zh-TW"/>
        </w:rPr>
        <w:t>具体</w:t>
      </w:r>
      <w:r>
        <w:rPr>
          <w:rFonts w:hint="eastAsia" w:asciiTheme="minorEastAsia" w:hAnsiTheme="minorEastAsia" w:eastAsiaTheme="minorEastAsia" w:cstheme="minorEastAsia"/>
          <w:b/>
          <w:bCs/>
          <w:color w:val="000000"/>
          <w:kern w:val="2"/>
          <w:sz w:val="28"/>
          <w:szCs w:val="28"/>
          <w:u w:val="none"/>
          <w:lang w:val="zh-TW" w:eastAsia="zh-TW" w:bidi="zh-TW"/>
        </w:rPr>
        <w:t>方式：</w:t>
      </w:r>
      <w:bookmarkEnd w:id="56"/>
      <w:bookmarkEnd w:id="57"/>
      <w:bookmarkEnd w:id="58"/>
    </w:p>
    <w:p w14:paraId="757C184E">
      <w:pPr>
        <w:widowControl w:val="0"/>
        <w:wordWrap/>
        <w:spacing w:line="360" w:lineRule="auto"/>
        <w:ind w:left="0" w:firstLine="600"/>
        <w:jc w:val="left"/>
        <w:outlineLvl w:val="0"/>
        <w:rPr>
          <w:rFonts w:hint="eastAsia" w:asciiTheme="minorEastAsia" w:hAnsiTheme="minorEastAsia" w:eastAsiaTheme="minorEastAsia" w:cstheme="minorEastAsia"/>
          <w:kern w:val="2"/>
          <w:sz w:val="28"/>
          <w:szCs w:val="28"/>
          <w:u w:val="single"/>
          <w:lang w:val="zh-TW" w:eastAsia="zh-CN" w:bidi="zh-TW"/>
        </w:rPr>
      </w:pPr>
      <w:r>
        <w:rPr>
          <w:rFonts w:hint="eastAsia" w:asciiTheme="minorEastAsia" w:hAnsiTheme="minorEastAsia" w:eastAsiaTheme="minorEastAsia" w:cstheme="minorEastAsia"/>
          <w:color w:val="000000"/>
          <w:kern w:val="2"/>
          <w:sz w:val="28"/>
          <w:szCs w:val="28"/>
          <w:u w:val="none"/>
          <w:lang w:val="en-US" w:eastAsia="zh-CN" w:bidi="en-US"/>
        </w:rPr>
        <w:t>4.1</w:t>
      </w:r>
      <w:r>
        <w:rPr>
          <w:rFonts w:hint="eastAsia" w:asciiTheme="minorEastAsia" w:hAnsiTheme="minorEastAsia" w:eastAsiaTheme="minorEastAsia" w:cstheme="minorEastAsia"/>
          <w:color w:val="000000"/>
          <w:kern w:val="2"/>
          <w:sz w:val="28"/>
          <w:szCs w:val="28"/>
          <w:u w:val="none"/>
          <w:lang w:val="en-US" w:eastAsia="zh-CN" w:bidi="zh-TW"/>
        </w:rPr>
        <w:t>合同</w:t>
      </w:r>
      <w:r>
        <w:rPr>
          <w:rFonts w:hint="eastAsia" w:asciiTheme="minorEastAsia" w:hAnsiTheme="minorEastAsia" w:eastAsiaTheme="minorEastAsia" w:cstheme="minorEastAsia"/>
          <w:color w:val="000000"/>
          <w:kern w:val="2"/>
          <w:sz w:val="28"/>
          <w:szCs w:val="28"/>
          <w:u w:val="none"/>
          <w:lang w:val="zh-TW" w:eastAsia="zh-TW" w:bidi="zh-TW"/>
        </w:rPr>
        <w:t>总额为：人民币</w:t>
      </w:r>
      <w:r>
        <w:rPr>
          <w:rFonts w:hint="eastAsia" w:asciiTheme="minorEastAsia" w:hAnsiTheme="minorEastAsia" w:eastAsiaTheme="minorEastAsia" w:cstheme="minorEastAsia"/>
          <w:color w:val="000000"/>
          <w:kern w:val="2"/>
          <w:sz w:val="28"/>
          <w:szCs w:val="28"/>
          <w:u w:val="single"/>
          <w:lang w:val="en-US" w:eastAsia="zh-CN" w:bidi="zh-TW"/>
        </w:rPr>
        <w:t xml:space="preserve">      </w:t>
      </w:r>
      <w:r>
        <w:rPr>
          <w:rFonts w:hint="eastAsia" w:asciiTheme="minorEastAsia" w:hAnsiTheme="minorEastAsia" w:eastAsiaTheme="minorEastAsia" w:cstheme="minorEastAsia"/>
          <w:color w:val="000000"/>
          <w:kern w:val="2"/>
          <w:sz w:val="28"/>
          <w:szCs w:val="28"/>
          <w:u w:val="none"/>
          <w:lang w:val="zh-TW" w:eastAsia="zh-TW" w:bidi="zh-TW"/>
        </w:rPr>
        <w:t>元</w:t>
      </w:r>
      <w:r>
        <w:rPr>
          <w:rFonts w:hint="eastAsia" w:asciiTheme="minorEastAsia" w:hAnsiTheme="minorEastAsia" w:eastAsiaTheme="minorEastAsia" w:cstheme="minorEastAsia"/>
          <w:color w:val="000000"/>
          <w:kern w:val="2"/>
          <w:sz w:val="28"/>
          <w:szCs w:val="28"/>
          <w:u w:val="single"/>
          <w:lang w:val="en-US" w:eastAsia="zh-CN" w:bidi="zh-TW"/>
        </w:rPr>
        <w:t>（     元</w:t>
      </w:r>
      <w:r>
        <w:rPr>
          <w:rFonts w:hint="eastAsia" w:asciiTheme="minorEastAsia" w:hAnsiTheme="minorEastAsia" w:eastAsiaTheme="minorEastAsia" w:cstheme="minorEastAsia"/>
          <w:color w:val="000000"/>
          <w:kern w:val="2"/>
          <w:sz w:val="28"/>
          <w:szCs w:val="28"/>
          <w:u w:val="single"/>
          <w:lang w:val="zh-TW" w:eastAsia="zh-TW" w:bidi="zh-TW"/>
        </w:rPr>
        <w:t>整</w:t>
      </w:r>
      <w:r>
        <w:rPr>
          <w:rFonts w:hint="eastAsia" w:asciiTheme="minorEastAsia" w:hAnsiTheme="minorEastAsia" w:eastAsiaTheme="minorEastAsia" w:cstheme="minorEastAsia"/>
          <w:color w:val="000000"/>
          <w:kern w:val="2"/>
          <w:sz w:val="28"/>
          <w:szCs w:val="28"/>
          <w:u w:val="single"/>
          <w:lang w:val="zh-TW" w:eastAsia="zh-CN" w:bidi="zh-TW"/>
        </w:rPr>
        <w:t>）</w:t>
      </w:r>
    </w:p>
    <w:p w14:paraId="61A524B1">
      <w:pPr>
        <w:widowControl w:val="0"/>
        <w:wordWrap/>
        <w:spacing w:line="360" w:lineRule="auto"/>
        <w:ind w:left="0" w:firstLine="600"/>
        <w:jc w:val="left"/>
        <w:rPr>
          <w:rFonts w:hint="eastAsia" w:asciiTheme="minorEastAsia" w:hAnsiTheme="minorEastAsia" w:eastAsiaTheme="minorEastAsia" w:cstheme="minorEastAsia"/>
          <w:color w:val="000000"/>
          <w:kern w:val="2"/>
          <w:sz w:val="28"/>
          <w:szCs w:val="28"/>
          <w:u w:val="none"/>
          <w:lang w:val="zh-TW" w:eastAsia="zh-TW" w:bidi="en-US"/>
        </w:rPr>
      </w:pPr>
      <w:bookmarkStart w:id="59" w:name="bookmark18"/>
      <w:bookmarkEnd w:id="59"/>
      <w:r>
        <w:rPr>
          <w:rFonts w:hint="eastAsia" w:asciiTheme="minorEastAsia" w:hAnsiTheme="minorEastAsia" w:eastAsiaTheme="minorEastAsia" w:cstheme="minorEastAsia"/>
          <w:color w:val="000000"/>
          <w:kern w:val="2"/>
          <w:sz w:val="28"/>
          <w:szCs w:val="28"/>
          <w:u w:val="none"/>
          <w:lang w:val="en-US" w:eastAsia="zh-CN" w:bidi="en-US"/>
        </w:rPr>
        <w:t>4.2</w:t>
      </w:r>
      <w:r>
        <w:rPr>
          <w:rFonts w:hint="eastAsia" w:asciiTheme="minorEastAsia" w:hAnsiTheme="minorEastAsia" w:eastAsiaTheme="minorEastAsia" w:cstheme="minorEastAsia"/>
          <w:color w:val="000000"/>
          <w:kern w:val="2"/>
          <w:sz w:val="28"/>
          <w:szCs w:val="28"/>
          <w:u w:val="none"/>
          <w:lang w:val="zh-TW" w:eastAsia="zh-TW" w:bidi="en-US"/>
        </w:rPr>
        <w:t>甲方自合同签订之日至</w:t>
      </w:r>
      <w:r>
        <w:rPr>
          <w:rFonts w:hint="eastAsia" w:asciiTheme="minorEastAsia" w:hAnsiTheme="minorEastAsia" w:eastAsiaTheme="minorEastAsia" w:cstheme="minorEastAsia"/>
          <w:color w:val="000000"/>
          <w:kern w:val="2"/>
          <w:sz w:val="28"/>
          <w:szCs w:val="28"/>
          <w:u w:val="single"/>
          <w:lang w:val="en-US" w:eastAsia="zh-CN" w:bidi="en-US"/>
        </w:rPr>
        <w:t>X</w:t>
      </w:r>
      <w:r>
        <w:rPr>
          <w:rFonts w:hint="eastAsia" w:asciiTheme="minorEastAsia" w:hAnsiTheme="minorEastAsia" w:eastAsiaTheme="minorEastAsia" w:cstheme="minorEastAsia"/>
          <w:color w:val="000000"/>
          <w:kern w:val="2"/>
          <w:sz w:val="28"/>
          <w:szCs w:val="28"/>
          <w:u w:val="single"/>
          <w:lang w:val="zh-TW" w:eastAsia="zh-TW" w:bidi="en-US"/>
        </w:rPr>
        <w:t>年</w:t>
      </w:r>
      <w:r>
        <w:rPr>
          <w:rFonts w:hint="eastAsia" w:asciiTheme="minorEastAsia" w:hAnsiTheme="minorEastAsia" w:eastAsiaTheme="minorEastAsia" w:cstheme="minorEastAsia"/>
          <w:color w:val="000000"/>
          <w:kern w:val="2"/>
          <w:sz w:val="28"/>
          <w:szCs w:val="28"/>
          <w:u w:val="single"/>
          <w:lang w:val="en-US" w:eastAsia="zh-CN" w:bidi="en-US"/>
        </w:rPr>
        <w:t>X</w:t>
      </w:r>
      <w:r>
        <w:rPr>
          <w:rFonts w:hint="eastAsia" w:asciiTheme="minorEastAsia" w:hAnsiTheme="minorEastAsia" w:eastAsiaTheme="minorEastAsia" w:cstheme="minorEastAsia"/>
          <w:color w:val="000000"/>
          <w:kern w:val="2"/>
          <w:sz w:val="28"/>
          <w:szCs w:val="28"/>
          <w:u w:val="single"/>
          <w:lang w:val="zh-TW" w:eastAsia="zh-TW" w:bidi="en-US"/>
        </w:rPr>
        <w:t>月</w:t>
      </w:r>
      <w:r>
        <w:rPr>
          <w:rFonts w:hint="eastAsia" w:asciiTheme="minorEastAsia" w:hAnsiTheme="minorEastAsia" w:eastAsiaTheme="minorEastAsia" w:cstheme="minorEastAsia"/>
          <w:color w:val="000000"/>
          <w:kern w:val="2"/>
          <w:sz w:val="28"/>
          <w:szCs w:val="28"/>
          <w:u w:val="single"/>
          <w:lang w:val="en-US" w:eastAsia="zh-CN" w:bidi="en-US"/>
        </w:rPr>
        <w:t>X</w:t>
      </w:r>
      <w:r>
        <w:rPr>
          <w:rFonts w:hint="eastAsia" w:asciiTheme="minorEastAsia" w:hAnsiTheme="minorEastAsia" w:eastAsiaTheme="minorEastAsia" w:cstheme="minorEastAsia"/>
          <w:color w:val="000000"/>
          <w:kern w:val="2"/>
          <w:sz w:val="28"/>
          <w:szCs w:val="28"/>
          <w:u w:val="single"/>
          <w:lang w:val="zh-TW" w:eastAsia="zh-TW" w:bidi="en-US"/>
        </w:rPr>
        <w:t>日</w:t>
      </w:r>
      <w:r>
        <w:rPr>
          <w:rFonts w:hint="eastAsia" w:asciiTheme="minorEastAsia" w:hAnsiTheme="minorEastAsia" w:eastAsiaTheme="minorEastAsia" w:cstheme="minorEastAsia"/>
          <w:color w:val="000000"/>
          <w:kern w:val="2"/>
          <w:sz w:val="28"/>
          <w:szCs w:val="28"/>
          <w:u w:val="none"/>
          <w:lang w:val="zh-TW" w:eastAsia="zh-TW" w:bidi="en-US"/>
        </w:rPr>
        <w:t>分期支付</w:t>
      </w:r>
      <w:r>
        <w:rPr>
          <w:rFonts w:hint="eastAsia" w:asciiTheme="minorEastAsia" w:hAnsiTheme="minorEastAsia" w:eastAsiaTheme="minorEastAsia" w:cstheme="minorEastAsia"/>
          <w:color w:val="000000"/>
          <w:kern w:val="2"/>
          <w:sz w:val="28"/>
          <w:szCs w:val="28"/>
          <w:u w:val="none"/>
          <w:lang w:val="zh-CN" w:eastAsia="zh-CN" w:bidi="en-US"/>
        </w:rPr>
        <w:t>乙方</w:t>
      </w:r>
      <w:r>
        <w:rPr>
          <w:rFonts w:hint="eastAsia" w:asciiTheme="minorEastAsia" w:hAnsiTheme="minorEastAsia" w:eastAsiaTheme="minorEastAsia" w:cstheme="minorEastAsia"/>
          <w:color w:val="000000"/>
          <w:kern w:val="2"/>
          <w:sz w:val="28"/>
          <w:szCs w:val="28"/>
          <w:u w:val="none"/>
          <w:lang w:val="en-US" w:eastAsia="zh-CN" w:bidi="en-US"/>
        </w:rPr>
        <w:t>服务费</w:t>
      </w:r>
      <w:r>
        <w:rPr>
          <w:rFonts w:hint="eastAsia" w:asciiTheme="minorEastAsia" w:hAnsiTheme="minorEastAsia" w:eastAsiaTheme="minorEastAsia" w:cstheme="minorEastAsia"/>
          <w:color w:val="000000"/>
          <w:kern w:val="2"/>
          <w:sz w:val="28"/>
          <w:szCs w:val="28"/>
          <w:u w:val="none"/>
          <w:lang w:val="zh-CN" w:eastAsia="zh-CN" w:bidi="en-US"/>
        </w:rPr>
        <w:t>。</w:t>
      </w:r>
    </w:p>
    <w:p w14:paraId="6A032DD4">
      <w:pPr>
        <w:widowControl w:val="0"/>
        <w:wordWrap/>
        <w:spacing w:line="360" w:lineRule="auto"/>
        <w:ind w:left="0" w:firstLine="600"/>
        <w:jc w:val="left"/>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4.3</w:t>
      </w:r>
      <w:r>
        <w:rPr>
          <w:rFonts w:hint="eastAsia" w:asciiTheme="minorEastAsia" w:hAnsiTheme="minorEastAsia" w:eastAsiaTheme="minorEastAsia" w:cstheme="minorEastAsia"/>
          <w:color w:val="000000"/>
          <w:kern w:val="2"/>
          <w:sz w:val="28"/>
          <w:szCs w:val="28"/>
          <w:u w:val="none"/>
          <w:lang w:val="zh-TW" w:eastAsia="zh-TW" w:bidi="zh-TW"/>
        </w:rPr>
        <w:t>支付方式和时间：</w:t>
      </w:r>
    </w:p>
    <w:p w14:paraId="1F2852FC">
      <w:pPr>
        <w:widowControl w:val="0"/>
        <w:wordWrap/>
        <w:spacing w:line="360" w:lineRule="auto"/>
        <w:ind w:left="0" w:firstLine="640"/>
        <w:jc w:val="both"/>
        <w:outlineLvl w:val="1"/>
        <w:rPr>
          <w:rFonts w:hint="eastAsia" w:asciiTheme="minorEastAsia" w:hAnsiTheme="minorEastAsia" w:eastAsiaTheme="minorEastAsia" w:cstheme="minorEastAsia"/>
          <w:kern w:val="2"/>
          <w:sz w:val="28"/>
          <w:szCs w:val="28"/>
          <w:u w:val="none"/>
          <w:lang w:val="en-US" w:eastAsia="zh-CN" w:bidi="en-US"/>
        </w:rPr>
      </w:pPr>
      <w:r>
        <w:rPr>
          <w:rFonts w:hint="eastAsia" w:asciiTheme="minorEastAsia" w:hAnsiTheme="minorEastAsia" w:eastAsiaTheme="minorEastAsia" w:cstheme="minorEastAsia"/>
          <w:color w:val="000000"/>
          <w:kern w:val="2"/>
          <w:sz w:val="28"/>
          <w:szCs w:val="28"/>
          <w:u w:val="none"/>
          <w:lang w:val="en-US" w:eastAsia="zh-CN" w:bidi="en-US"/>
        </w:rPr>
        <w:t>4.3.1首次付款方式：</w:t>
      </w:r>
    </w:p>
    <w:p w14:paraId="0E70F6F3">
      <w:pPr>
        <w:widowControl w:val="0"/>
        <w:wordWrap/>
        <w:spacing w:line="360" w:lineRule="auto"/>
        <w:ind w:left="0" w:firstLine="640"/>
        <w:jc w:val="both"/>
        <w:rPr>
          <w:rFonts w:hint="eastAsia" w:asciiTheme="minorEastAsia" w:hAnsiTheme="minorEastAsia" w:eastAsiaTheme="minorEastAsia" w:cstheme="minorEastAsia"/>
          <w:kern w:val="2"/>
          <w:sz w:val="28"/>
          <w:szCs w:val="28"/>
          <w:highlight w:val="none"/>
          <w:u w:val="none"/>
          <w:lang w:val="en-US" w:eastAsia="zh-CN" w:bidi="en-US"/>
        </w:rPr>
      </w:pPr>
      <w:r>
        <w:rPr>
          <w:rFonts w:hint="eastAsia" w:asciiTheme="minorEastAsia" w:hAnsiTheme="minorEastAsia" w:eastAsiaTheme="minorEastAsia" w:cstheme="minorEastAsia"/>
          <w:color w:val="000000"/>
          <w:kern w:val="2"/>
          <w:sz w:val="28"/>
          <w:szCs w:val="28"/>
          <w:highlight w:val="none"/>
          <w:u w:val="none"/>
          <w:lang w:val="en-US" w:eastAsia="zh-CN" w:bidi="en-US"/>
        </w:rPr>
        <w:t>合同签订后，DRG付费系统正常运行，并完成月度结算工作，经甲方验收后，甲方支付乙方合同总额的40%款项；否则，在扣除相应违约金后，支付剩余款项。</w:t>
      </w:r>
    </w:p>
    <w:p w14:paraId="305A2668">
      <w:pPr>
        <w:widowControl w:val="0"/>
        <w:wordWrap/>
        <w:spacing w:line="360" w:lineRule="auto"/>
        <w:ind w:left="0" w:firstLine="640"/>
        <w:jc w:val="both"/>
        <w:outlineLvl w:val="1"/>
        <w:rPr>
          <w:rFonts w:hint="eastAsia" w:asciiTheme="minorEastAsia" w:hAnsiTheme="minorEastAsia" w:eastAsiaTheme="minorEastAsia" w:cstheme="minorEastAsia"/>
          <w:kern w:val="2"/>
          <w:sz w:val="28"/>
          <w:szCs w:val="28"/>
          <w:u w:val="none"/>
          <w:lang w:val="en-US" w:eastAsia="zh-CN" w:bidi="en-US"/>
        </w:rPr>
      </w:pPr>
      <w:r>
        <w:rPr>
          <w:rFonts w:hint="eastAsia" w:asciiTheme="minorEastAsia" w:hAnsiTheme="minorEastAsia" w:eastAsiaTheme="minorEastAsia" w:cstheme="minorEastAsia"/>
          <w:color w:val="000000"/>
          <w:kern w:val="2"/>
          <w:sz w:val="28"/>
          <w:szCs w:val="28"/>
          <w:u w:val="none"/>
          <w:lang w:val="en-US" w:eastAsia="zh-CN" w:bidi="en-US"/>
        </w:rPr>
        <w:t>4.3.2二次付款方式：</w:t>
      </w:r>
    </w:p>
    <w:p w14:paraId="2B8D8557">
      <w:pPr>
        <w:widowControl w:val="0"/>
        <w:wordWrap/>
        <w:spacing w:line="360" w:lineRule="auto"/>
        <w:ind w:left="0" w:firstLine="640"/>
        <w:jc w:val="both"/>
        <w:outlineLvl w:val="1"/>
        <w:rPr>
          <w:rFonts w:hint="eastAsia" w:asciiTheme="minorEastAsia" w:hAnsiTheme="minorEastAsia" w:eastAsiaTheme="minorEastAsia" w:cstheme="minorEastAsia"/>
          <w:color w:val="000000"/>
          <w:kern w:val="2"/>
          <w:sz w:val="28"/>
          <w:szCs w:val="28"/>
          <w:u w:val="none"/>
          <w:lang w:val="en-US" w:eastAsia="zh-CN" w:bidi="en-US"/>
        </w:rPr>
      </w:pPr>
      <w:r>
        <w:rPr>
          <w:rFonts w:hint="eastAsia" w:asciiTheme="minorEastAsia" w:hAnsiTheme="minorEastAsia" w:eastAsiaTheme="minorEastAsia" w:cstheme="minorEastAsia"/>
          <w:color w:val="000000"/>
          <w:kern w:val="2"/>
          <w:sz w:val="28"/>
          <w:szCs w:val="28"/>
          <w:u w:val="none"/>
          <w:lang w:val="en-US" w:eastAsia="zh-CN" w:bidi="en-US"/>
        </w:rPr>
        <w:t>乙方按合同要求提供持续服务，出具半年度项目运行报告，经甲方确认合格后（无重大问题发生），支付合同总额的40%款项；否则，在扣除相应违约金后，支付剩余款项。</w:t>
      </w:r>
    </w:p>
    <w:p w14:paraId="347F9538">
      <w:pPr>
        <w:widowControl w:val="0"/>
        <w:wordWrap/>
        <w:spacing w:line="360" w:lineRule="auto"/>
        <w:ind w:left="0" w:firstLine="640"/>
        <w:jc w:val="both"/>
        <w:outlineLvl w:val="1"/>
        <w:rPr>
          <w:rFonts w:hint="eastAsia" w:asciiTheme="minorEastAsia" w:hAnsiTheme="minorEastAsia" w:eastAsiaTheme="minorEastAsia" w:cstheme="minorEastAsia"/>
          <w:kern w:val="2"/>
          <w:sz w:val="28"/>
          <w:szCs w:val="28"/>
          <w:u w:val="none"/>
          <w:lang w:val="en-US" w:eastAsia="zh-CN" w:bidi="en-US"/>
        </w:rPr>
      </w:pPr>
      <w:r>
        <w:rPr>
          <w:rFonts w:hint="eastAsia" w:asciiTheme="minorEastAsia" w:hAnsiTheme="minorEastAsia" w:eastAsiaTheme="minorEastAsia" w:cstheme="minorEastAsia"/>
          <w:color w:val="000000"/>
          <w:kern w:val="2"/>
          <w:sz w:val="28"/>
          <w:szCs w:val="28"/>
          <w:u w:val="none"/>
          <w:lang w:val="en-US" w:eastAsia="zh-CN" w:bidi="en-US"/>
        </w:rPr>
        <w:t>4.3.3末次付款方式：</w:t>
      </w:r>
    </w:p>
    <w:p w14:paraId="691D1FCD">
      <w:pPr>
        <w:widowControl w:val="0"/>
        <w:wordWrap/>
        <w:spacing w:line="360" w:lineRule="auto"/>
        <w:ind w:left="0" w:firstLine="640"/>
        <w:jc w:val="both"/>
        <w:outlineLvl w:val="1"/>
        <w:rPr>
          <w:rFonts w:hint="eastAsia" w:asciiTheme="minorEastAsia" w:hAnsiTheme="minorEastAsia" w:eastAsiaTheme="minorEastAsia" w:cstheme="minorEastAsia"/>
          <w:color w:val="000000"/>
          <w:kern w:val="2"/>
          <w:sz w:val="28"/>
          <w:szCs w:val="28"/>
          <w:u w:val="none"/>
          <w:lang w:val="en-US" w:eastAsia="zh-CN" w:bidi="en-US"/>
        </w:rPr>
      </w:pPr>
      <w:r>
        <w:rPr>
          <w:rFonts w:hint="eastAsia" w:asciiTheme="minorEastAsia" w:hAnsiTheme="minorEastAsia" w:eastAsiaTheme="minorEastAsia" w:cstheme="minorEastAsia"/>
          <w:color w:val="000000"/>
          <w:kern w:val="2"/>
          <w:sz w:val="28"/>
          <w:szCs w:val="28"/>
          <w:u w:val="none"/>
          <w:lang w:val="en-US" w:eastAsia="zh-CN" w:bidi="en-US"/>
        </w:rPr>
        <w:t>乙方按合同要求提供持续服务，出具年度项目运行报告，经甲方验收合格后，支付合同剩余的20%款项；否则，在扣除相应违约金后，支付剩余款项。</w:t>
      </w:r>
    </w:p>
    <w:p w14:paraId="1A92A577">
      <w:pPr>
        <w:widowControl w:val="0"/>
        <w:wordWrap/>
        <w:spacing w:line="360" w:lineRule="auto"/>
        <w:ind w:left="0" w:firstLine="640"/>
        <w:jc w:val="both"/>
        <w:outlineLvl w:val="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kern w:val="2"/>
          <w:sz w:val="28"/>
          <w:szCs w:val="28"/>
          <w:u w:val="none"/>
          <w:lang w:val="en-US" w:eastAsia="zh-CN" w:bidi="en-US"/>
        </w:rPr>
        <w:t>以上各环节，乙方同步开具相应金额专用发票后十个工作日内，经甲方确认方可予以支付。</w:t>
      </w:r>
    </w:p>
    <w:p w14:paraId="220C93B1">
      <w:pPr>
        <w:widowControl w:val="0"/>
        <w:wordWrap/>
        <w:spacing w:line="360" w:lineRule="auto"/>
        <w:ind w:left="0" w:firstLine="640"/>
        <w:jc w:val="both"/>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4.4</w:t>
      </w:r>
      <w:r>
        <w:rPr>
          <w:rFonts w:hint="eastAsia" w:asciiTheme="minorEastAsia" w:hAnsiTheme="minorEastAsia" w:eastAsiaTheme="minorEastAsia" w:cstheme="minorEastAsia"/>
          <w:color w:val="000000"/>
          <w:kern w:val="2"/>
          <w:sz w:val="28"/>
          <w:szCs w:val="28"/>
          <w:u w:val="none"/>
          <w:lang w:val="zh-TW" w:eastAsia="zh-TW" w:bidi="zh-TW"/>
        </w:rPr>
        <w:t>乙方开户银行名称、地址和账号：</w:t>
      </w:r>
    </w:p>
    <w:p w14:paraId="0634C446">
      <w:pPr>
        <w:widowControl w:val="0"/>
        <w:wordWrap/>
        <w:spacing w:line="360" w:lineRule="auto"/>
        <w:ind w:left="0" w:firstLine="600"/>
        <w:jc w:val="left"/>
        <w:rPr>
          <w:rFonts w:hint="eastAsia" w:asciiTheme="minorEastAsia" w:hAnsiTheme="minorEastAsia" w:eastAsiaTheme="minorEastAsia" w:cstheme="minorEastAsia"/>
          <w:kern w:val="2"/>
          <w:sz w:val="28"/>
          <w:szCs w:val="28"/>
          <w:u w:val="single"/>
          <w:lang w:val="en-US" w:eastAsia="zh-CN" w:bidi="zh-TW"/>
        </w:rPr>
      </w:pPr>
      <w:r>
        <w:rPr>
          <w:rFonts w:hint="eastAsia" w:asciiTheme="minorEastAsia" w:hAnsiTheme="minorEastAsia" w:eastAsiaTheme="minorEastAsia" w:cstheme="minorEastAsia"/>
          <w:color w:val="000000"/>
          <w:kern w:val="2"/>
          <w:sz w:val="28"/>
          <w:szCs w:val="28"/>
          <w:u w:val="none"/>
          <w:lang w:val="zh-TW" w:eastAsia="zh-TW" w:bidi="zh-TW"/>
        </w:rPr>
        <w:t>开户银行：</w:t>
      </w:r>
      <w:r>
        <w:rPr>
          <w:rFonts w:hint="eastAsia" w:asciiTheme="minorEastAsia" w:hAnsiTheme="minorEastAsia" w:eastAsiaTheme="minorEastAsia" w:cstheme="minorEastAsia"/>
          <w:color w:val="000000"/>
          <w:kern w:val="2"/>
          <w:sz w:val="28"/>
          <w:szCs w:val="28"/>
          <w:u w:val="single"/>
          <w:lang w:val="en-US" w:eastAsia="zh-CN" w:bidi="zh-TW"/>
        </w:rPr>
        <w:t xml:space="preserve">                        </w:t>
      </w:r>
    </w:p>
    <w:p w14:paraId="14B83402">
      <w:pPr>
        <w:widowControl w:val="0"/>
        <w:wordWrap/>
        <w:spacing w:line="360" w:lineRule="auto"/>
        <w:ind w:left="0" w:firstLine="600"/>
        <w:jc w:val="left"/>
        <w:rPr>
          <w:rFonts w:hint="eastAsia" w:asciiTheme="minorEastAsia" w:hAnsiTheme="minorEastAsia" w:eastAsiaTheme="minorEastAsia" w:cstheme="minorEastAsia"/>
          <w:color w:val="000000"/>
          <w:kern w:val="2"/>
          <w:sz w:val="28"/>
          <w:szCs w:val="28"/>
          <w:u w:val="single"/>
          <w:lang w:val="en-US" w:eastAsia="zh-CN" w:bidi="zh-TW"/>
        </w:rPr>
      </w:pPr>
      <w:r>
        <w:rPr>
          <w:rFonts w:hint="eastAsia" w:asciiTheme="minorEastAsia" w:hAnsiTheme="minorEastAsia" w:eastAsiaTheme="minorEastAsia" w:cstheme="minorEastAsia"/>
          <w:color w:val="000000"/>
          <w:kern w:val="2"/>
          <w:sz w:val="28"/>
          <w:szCs w:val="28"/>
          <w:u w:val="none"/>
          <w:lang w:val="zh-TW" w:eastAsia="zh-TW" w:bidi="zh-TW"/>
        </w:rPr>
        <w:t>地址：</w:t>
      </w:r>
      <w:r>
        <w:rPr>
          <w:rFonts w:hint="eastAsia" w:asciiTheme="minorEastAsia" w:hAnsiTheme="minorEastAsia" w:eastAsiaTheme="minorEastAsia" w:cstheme="minorEastAsia"/>
          <w:color w:val="000000"/>
          <w:kern w:val="2"/>
          <w:sz w:val="28"/>
          <w:szCs w:val="28"/>
          <w:u w:val="single"/>
          <w:lang w:val="en-US" w:eastAsia="zh-CN" w:bidi="zh-TW"/>
        </w:rPr>
        <w:t xml:space="preserve">                            </w:t>
      </w:r>
    </w:p>
    <w:p w14:paraId="16A85EB7">
      <w:pPr>
        <w:widowControl w:val="0"/>
        <w:wordWrap/>
        <w:spacing w:line="360" w:lineRule="auto"/>
        <w:ind w:left="0" w:firstLine="600"/>
        <w:jc w:val="left"/>
        <w:rPr>
          <w:rFonts w:hint="eastAsia" w:asciiTheme="minorEastAsia" w:hAnsiTheme="minorEastAsia" w:eastAsiaTheme="minorEastAsia" w:cstheme="minorEastAsia"/>
          <w:color w:val="000000"/>
          <w:kern w:val="2"/>
          <w:sz w:val="28"/>
          <w:szCs w:val="28"/>
          <w:u w:val="single"/>
          <w:lang w:val="en-US" w:eastAsia="zh-CN" w:bidi="zh-TW"/>
        </w:rPr>
      </w:pPr>
      <w:r>
        <w:rPr>
          <w:rFonts w:hint="eastAsia" w:asciiTheme="minorEastAsia" w:hAnsiTheme="minorEastAsia" w:eastAsiaTheme="minorEastAsia" w:cstheme="minorEastAsia"/>
          <w:color w:val="000000"/>
          <w:kern w:val="2"/>
          <w:sz w:val="28"/>
          <w:szCs w:val="28"/>
          <w:u w:val="none"/>
          <w:lang w:val="zh-TW" w:eastAsia="zh-TW" w:bidi="zh-TW"/>
        </w:rPr>
        <w:t>账号：</w:t>
      </w:r>
      <w:r>
        <w:rPr>
          <w:rFonts w:hint="eastAsia" w:asciiTheme="minorEastAsia" w:hAnsiTheme="minorEastAsia" w:eastAsiaTheme="minorEastAsia" w:cstheme="minorEastAsia"/>
          <w:color w:val="000000"/>
          <w:kern w:val="2"/>
          <w:sz w:val="28"/>
          <w:szCs w:val="28"/>
          <w:u w:val="single"/>
          <w:lang w:val="en-US" w:eastAsia="zh-CN" w:bidi="zh-TW"/>
        </w:rPr>
        <w:t xml:space="preserve">                            </w:t>
      </w:r>
    </w:p>
    <w:p w14:paraId="72F53AF5">
      <w:pPr>
        <w:widowControl w:val="0"/>
        <w:wordWrap/>
        <w:spacing w:line="360" w:lineRule="auto"/>
        <w:ind w:left="0" w:firstLine="620"/>
        <w:jc w:val="left"/>
        <w:rPr>
          <w:rFonts w:hint="eastAsia" w:asciiTheme="minorEastAsia" w:hAnsiTheme="minorEastAsia" w:eastAsiaTheme="minorEastAsia" w:cstheme="minorEastAsia"/>
          <w:b/>
          <w:bCs/>
          <w:color w:val="000000"/>
          <w:kern w:val="2"/>
          <w:sz w:val="28"/>
          <w:szCs w:val="28"/>
          <w:u w:val="none"/>
          <w:lang w:val="zh-TW" w:eastAsia="zh-TW" w:bidi="zh-TW"/>
        </w:rPr>
      </w:pPr>
      <w:bookmarkStart w:id="60" w:name="bookmark20"/>
      <w:bookmarkStart w:id="61" w:name="bookmark21"/>
      <w:bookmarkStart w:id="62" w:name="bookmark19"/>
      <w:r>
        <w:rPr>
          <w:rFonts w:hint="eastAsia" w:asciiTheme="minorEastAsia" w:hAnsiTheme="minorEastAsia" w:eastAsiaTheme="minorEastAsia" w:cstheme="minorEastAsia"/>
          <w:b/>
          <w:bCs/>
          <w:color w:val="000000"/>
          <w:kern w:val="2"/>
          <w:sz w:val="28"/>
          <w:szCs w:val="28"/>
          <w:u w:val="none"/>
          <w:lang w:val="zh-TW" w:eastAsia="zh-TW" w:bidi="zh-TW"/>
        </w:rPr>
        <w:t>第五条</w:t>
      </w:r>
      <w:r>
        <w:rPr>
          <w:rFonts w:hint="eastAsia" w:asciiTheme="minorEastAsia" w:hAnsiTheme="minorEastAsia" w:eastAsiaTheme="minorEastAsia" w:cstheme="minorEastAsia"/>
          <w:b/>
          <w:bCs/>
          <w:color w:val="000000"/>
          <w:kern w:val="2"/>
          <w:sz w:val="28"/>
          <w:szCs w:val="28"/>
          <w:u w:val="none"/>
          <w:lang w:val="zh-TW" w:eastAsia="zh-CN" w:bidi="zh-TW"/>
        </w:rPr>
        <w:t xml:space="preserve"> </w:t>
      </w:r>
      <w:r>
        <w:rPr>
          <w:rFonts w:hint="eastAsia" w:asciiTheme="minorEastAsia" w:hAnsiTheme="minorEastAsia" w:eastAsiaTheme="minorEastAsia" w:cstheme="minorEastAsia"/>
          <w:b/>
          <w:bCs/>
          <w:color w:val="000000"/>
          <w:kern w:val="2"/>
          <w:sz w:val="28"/>
          <w:szCs w:val="28"/>
          <w:u w:val="none"/>
          <w:lang w:val="zh-TW" w:eastAsia="zh-TW" w:bidi="zh-TW"/>
        </w:rPr>
        <w:t>双方确定在履行本合同期</w:t>
      </w:r>
      <w:r>
        <w:rPr>
          <w:rFonts w:hint="eastAsia" w:asciiTheme="minorEastAsia" w:hAnsiTheme="minorEastAsia" w:eastAsiaTheme="minorEastAsia" w:cstheme="minorEastAsia"/>
          <w:b/>
          <w:bCs/>
          <w:color w:val="000000"/>
          <w:kern w:val="2"/>
          <w:sz w:val="28"/>
          <w:szCs w:val="28"/>
          <w:u w:val="none"/>
          <w:lang w:val="en-US" w:eastAsia="zh-CN" w:bidi="zh-TW"/>
        </w:rPr>
        <w:t>间</w:t>
      </w:r>
      <w:r>
        <w:rPr>
          <w:rFonts w:hint="eastAsia" w:asciiTheme="minorEastAsia" w:hAnsiTheme="minorEastAsia" w:eastAsiaTheme="minorEastAsia" w:cstheme="minorEastAsia"/>
          <w:b/>
          <w:bCs/>
          <w:color w:val="000000"/>
          <w:kern w:val="2"/>
          <w:sz w:val="28"/>
          <w:szCs w:val="28"/>
          <w:u w:val="none"/>
          <w:lang w:val="zh-TW" w:eastAsia="zh-TW" w:bidi="zh-TW"/>
        </w:rPr>
        <w:t>应遵守的保密义务如下：</w:t>
      </w:r>
      <w:bookmarkEnd w:id="60"/>
      <w:bookmarkEnd w:id="61"/>
      <w:bookmarkEnd w:id="62"/>
    </w:p>
    <w:p w14:paraId="33901431">
      <w:pPr>
        <w:widowControl w:val="0"/>
        <w:wordWrap/>
        <w:spacing w:line="360" w:lineRule="auto"/>
        <w:ind w:left="0" w:firstLine="560"/>
        <w:jc w:val="both"/>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zh-TW" w:eastAsia="zh-TW" w:bidi="zh-TW"/>
        </w:rPr>
        <w:t>甲方：</w:t>
      </w:r>
    </w:p>
    <w:p w14:paraId="4F427BB9">
      <w:pPr>
        <w:widowControl w:val="0"/>
        <w:wordWrap/>
        <w:spacing w:line="360" w:lineRule="auto"/>
        <w:ind w:left="0" w:firstLine="620"/>
        <w:jc w:val="both"/>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5.1</w:t>
      </w:r>
      <w:r>
        <w:rPr>
          <w:rFonts w:hint="eastAsia" w:asciiTheme="minorEastAsia" w:hAnsiTheme="minorEastAsia" w:eastAsiaTheme="minorEastAsia" w:cstheme="minorEastAsia"/>
          <w:color w:val="000000"/>
          <w:kern w:val="2"/>
          <w:sz w:val="28"/>
          <w:szCs w:val="28"/>
          <w:u w:val="none"/>
          <w:lang w:val="zh-TW" w:eastAsia="zh-TW" w:bidi="zh-TW"/>
        </w:rPr>
        <w:t>保密内容（包括技术信息和经营信息）：包括但不限于双方合作中接触的书面及电子资料、文件、数据信息、技术信息以及形成的交付物，乙方提供的系统设计逻辑、数据库、设计方法、软件界面以及乙方任何未经注册、未经披露或未被授予专利权的发明和信息数据等，未经乙方书面同意，不得以任何方式部分或全部用于本合同约定以外的用途，或泄露给第三方。</w:t>
      </w:r>
    </w:p>
    <w:p w14:paraId="457B1346">
      <w:pPr>
        <w:widowControl w:val="0"/>
        <w:tabs>
          <w:tab w:val="left" w:pos="938"/>
        </w:tabs>
        <w:wordWrap/>
        <w:spacing w:line="360" w:lineRule="auto"/>
        <w:jc w:val="both"/>
        <w:rPr>
          <w:rFonts w:hint="eastAsia" w:asciiTheme="minorEastAsia" w:hAnsiTheme="minorEastAsia" w:eastAsiaTheme="minorEastAsia" w:cstheme="minorEastAsia"/>
          <w:kern w:val="2"/>
          <w:sz w:val="28"/>
          <w:szCs w:val="28"/>
          <w:u w:val="single"/>
          <w:lang w:val="zh-TW" w:eastAsia="zh-CN" w:bidi="zh-TW"/>
        </w:rPr>
      </w:pPr>
      <w:bookmarkStart w:id="63" w:name="bookmark22"/>
      <w:bookmarkEnd w:id="63"/>
      <w:r>
        <w:rPr>
          <w:rFonts w:hint="eastAsia" w:asciiTheme="minorEastAsia" w:hAnsiTheme="minorEastAsia" w:eastAsiaTheme="minorEastAsia" w:cstheme="minorEastAsia"/>
          <w:color w:val="000000"/>
          <w:kern w:val="2"/>
          <w:sz w:val="28"/>
          <w:szCs w:val="28"/>
          <w:u w:val="none"/>
          <w:lang w:val="zh-TW" w:eastAsia="zh-CN" w:bidi="zh-TW"/>
        </w:rPr>
        <w:t>5</w:t>
      </w:r>
      <w:r>
        <w:rPr>
          <w:rFonts w:hint="eastAsia" w:asciiTheme="minorEastAsia" w:hAnsiTheme="minorEastAsia" w:eastAsiaTheme="minorEastAsia" w:cstheme="minorEastAsia"/>
          <w:color w:val="000000"/>
          <w:kern w:val="2"/>
          <w:sz w:val="28"/>
          <w:szCs w:val="28"/>
          <w:u w:val="none"/>
          <w:lang w:val="zh-TW" w:eastAsia="zh-TW" w:bidi="zh-TW"/>
        </w:rPr>
        <w:t>.2涉密人员范围：甲方及</w:t>
      </w:r>
      <w:r>
        <w:rPr>
          <w:rFonts w:hint="eastAsia" w:asciiTheme="minorEastAsia" w:hAnsiTheme="minorEastAsia" w:eastAsiaTheme="minorEastAsia" w:cstheme="minorEastAsia"/>
          <w:color w:val="000000"/>
          <w:kern w:val="2"/>
          <w:sz w:val="28"/>
          <w:szCs w:val="28"/>
          <w:u w:val="none"/>
          <w:lang w:val="en-US" w:eastAsia="zh-CN" w:bidi="zh-TW"/>
        </w:rPr>
        <w:t>甲方</w:t>
      </w:r>
      <w:r>
        <w:rPr>
          <w:rFonts w:hint="eastAsia" w:asciiTheme="minorEastAsia" w:hAnsiTheme="minorEastAsia" w:eastAsiaTheme="minorEastAsia" w:cstheme="minorEastAsia"/>
          <w:color w:val="000000"/>
          <w:kern w:val="2"/>
          <w:sz w:val="28"/>
          <w:szCs w:val="28"/>
          <w:u w:val="none"/>
          <w:lang w:val="zh-TW" w:eastAsia="zh-TW" w:bidi="zh-TW"/>
        </w:rPr>
        <w:t>项目参与人员</w:t>
      </w:r>
      <w:r>
        <w:rPr>
          <w:rFonts w:hint="eastAsia" w:asciiTheme="minorEastAsia" w:hAnsiTheme="minorEastAsia" w:eastAsiaTheme="minorEastAsia" w:cstheme="minorEastAsia"/>
          <w:color w:val="000000"/>
          <w:kern w:val="2"/>
          <w:sz w:val="28"/>
          <w:szCs w:val="28"/>
          <w:u w:val="none"/>
          <w:lang w:val="zh-TW" w:eastAsia="zh-CN" w:bidi="zh-TW"/>
        </w:rPr>
        <w:t>。</w:t>
      </w:r>
    </w:p>
    <w:p w14:paraId="7D0BFEDE">
      <w:pPr>
        <w:widowControl w:val="0"/>
        <w:wordWrap/>
        <w:spacing w:line="360" w:lineRule="auto"/>
        <w:ind w:left="0" w:firstLine="560"/>
        <w:jc w:val="both"/>
        <w:rPr>
          <w:rFonts w:hint="eastAsia" w:asciiTheme="minorEastAsia" w:hAnsiTheme="minorEastAsia" w:eastAsiaTheme="minorEastAsia" w:cstheme="minorEastAsia"/>
          <w:kern w:val="2"/>
          <w:sz w:val="28"/>
          <w:szCs w:val="28"/>
          <w:u w:val="single"/>
          <w:lang w:val="zh-TW" w:eastAsia="zh-CN" w:bidi="zh-TW"/>
        </w:rPr>
      </w:pPr>
      <w:r>
        <w:rPr>
          <w:rFonts w:hint="eastAsia" w:asciiTheme="minorEastAsia" w:hAnsiTheme="minorEastAsia" w:eastAsiaTheme="minorEastAsia" w:cstheme="minorEastAsia"/>
          <w:color w:val="000000"/>
          <w:kern w:val="2"/>
          <w:sz w:val="28"/>
          <w:szCs w:val="28"/>
          <w:u w:val="none"/>
          <w:lang w:val="en-US" w:eastAsia="zh-CN" w:bidi="en-US"/>
        </w:rPr>
        <w:t>5.</w:t>
      </w:r>
      <w:r>
        <w:rPr>
          <w:rFonts w:hint="eastAsia" w:asciiTheme="minorEastAsia" w:hAnsiTheme="minorEastAsia" w:eastAsiaTheme="minorEastAsia" w:cstheme="minorEastAsia"/>
          <w:color w:val="000000"/>
          <w:kern w:val="2"/>
          <w:sz w:val="28"/>
          <w:szCs w:val="28"/>
          <w:u w:val="none"/>
          <w:lang w:val="zh-TW" w:eastAsia="zh-TW" w:bidi="zh-TW"/>
        </w:rPr>
        <w:t>3保密期限：自合同签订之日至相关保密信息向社会公开之日</w:t>
      </w:r>
      <w:r>
        <w:rPr>
          <w:rFonts w:hint="eastAsia" w:asciiTheme="minorEastAsia" w:hAnsiTheme="minorEastAsia" w:eastAsiaTheme="minorEastAsia" w:cstheme="minorEastAsia"/>
          <w:color w:val="000000"/>
          <w:kern w:val="2"/>
          <w:sz w:val="28"/>
          <w:szCs w:val="28"/>
          <w:u w:val="none"/>
          <w:lang w:val="zh-TW" w:eastAsia="zh-CN" w:bidi="zh-TW"/>
        </w:rPr>
        <w:t>。</w:t>
      </w:r>
    </w:p>
    <w:p w14:paraId="1F28F81D">
      <w:pPr>
        <w:widowControl w:val="0"/>
        <w:wordWrap/>
        <w:spacing w:line="360" w:lineRule="auto"/>
        <w:ind w:left="0" w:firstLine="560"/>
        <w:jc w:val="both"/>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zh-TW" w:eastAsia="zh-TW" w:bidi="zh-TW"/>
        </w:rPr>
        <w:t>5</w:t>
      </w:r>
      <w:r>
        <w:rPr>
          <w:rFonts w:hint="eastAsia" w:asciiTheme="minorEastAsia" w:hAnsiTheme="minorEastAsia" w:eastAsiaTheme="minorEastAsia" w:cstheme="minorEastAsia"/>
          <w:color w:val="000000"/>
          <w:kern w:val="2"/>
          <w:sz w:val="28"/>
          <w:szCs w:val="28"/>
          <w:u w:val="none"/>
          <w:lang w:val="en-US" w:eastAsia="zh-CN" w:bidi="en-US"/>
        </w:rPr>
        <w:t>.</w:t>
      </w:r>
      <w:r>
        <w:rPr>
          <w:rFonts w:hint="eastAsia" w:asciiTheme="minorEastAsia" w:hAnsiTheme="minorEastAsia" w:eastAsiaTheme="minorEastAsia" w:cstheme="minorEastAsia"/>
          <w:color w:val="000000"/>
          <w:kern w:val="2"/>
          <w:sz w:val="28"/>
          <w:szCs w:val="28"/>
          <w:u w:val="none"/>
          <w:lang w:val="zh-TW" w:eastAsia="zh-TW" w:bidi="zh-TW"/>
        </w:rPr>
        <w:t>4泄密责任：因甲方违反保密内容对乙方造成损害的，依法承担相应的赔偿责任。</w:t>
      </w:r>
    </w:p>
    <w:p w14:paraId="339BEF3B">
      <w:pPr>
        <w:widowControl w:val="0"/>
        <w:wordWrap/>
        <w:spacing w:line="360" w:lineRule="auto"/>
        <w:ind w:left="0" w:firstLine="560"/>
        <w:jc w:val="both"/>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zh-TW" w:eastAsia="zh-TW" w:bidi="zh-TW"/>
        </w:rPr>
        <w:t>乙方：</w:t>
      </w:r>
    </w:p>
    <w:p w14:paraId="1FBEA906">
      <w:pPr>
        <w:widowControl w:val="0"/>
        <w:wordWrap/>
        <w:spacing w:line="360" w:lineRule="auto"/>
        <w:ind w:left="0" w:firstLine="620"/>
        <w:jc w:val="both"/>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5.</w:t>
      </w:r>
      <w:r>
        <w:rPr>
          <w:rFonts w:hint="eastAsia" w:asciiTheme="minorEastAsia" w:hAnsiTheme="minorEastAsia" w:eastAsiaTheme="minorEastAsia" w:cstheme="minorEastAsia"/>
          <w:color w:val="000000"/>
          <w:kern w:val="2"/>
          <w:sz w:val="28"/>
          <w:szCs w:val="28"/>
          <w:u w:val="none"/>
          <w:lang w:val="zh-TW" w:eastAsia="zh-TW" w:bidi="zh-TW"/>
        </w:rPr>
        <w:t>5保密内容（包括技术信息和经营信息）：包括但不限于双方合作中接触的书面及电子资料</w:t>
      </w:r>
      <w:r>
        <w:rPr>
          <w:rFonts w:hint="eastAsia" w:asciiTheme="minorEastAsia" w:hAnsiTheme="minorEastAsia" w:eastAsiaTheme="minorEastAsia" w:cstheme="minorEastAsia"/>
          <w:color w:val="000000"/>
          <w:kern w:val="2"/>
          <w:sz w:val="28"/>
          <w:szCs w:val="28"/>
          <w:u w:val="none"/>
          <w:lang w:val="zh-TW" w:eastAsia="zh-CN" w:bidi="zh-TW"/>
        </w:rPr>
        <w:t>、</w:t>
      </w:r>
      <w:r>
        <w:rPr>
          <w:rFonts w:hint="eastAsia" w:asciiTheme="minorEastAsia" w:hAnsiTheme="minorEastAsia" w:eastAsiaTheme="minorEastAsia" w:cstheme="minorEastAsia"/>
          <w:color w:val="000000"/>
          <w:kern w:val="2"/>
          <w:sz w:val="28"/>
          <w:szCs w:val="28"/>
          <w:u w:val="none"/>
          <w:lang w:val="zh-TW" w:eastAsia="zh-TW" w:bidi="zh-TW"/>
        </w:rPr>
        <w:t>文件、数据信息、技术信息以及形成的交付物，甲方提供的医疗数据、医保数据等相关数据信息，未经甲方书面同意，不得以任何方式部分或全部用于本合同约定以外的用途</w:t>
      </w:r>
      <w:r>
        <w:rPr>
          <w:rFonts w:hint="eastAsia" w:asciiTheme="minorEastAsia" w:hAnsiTheme="minorEastAsia" w:eastAsiaTheme="minorEastAsia" w:cstheme="minorEastAsia"/>
          <w:color w:val="000000"/>
          <w:kern w:val="2"/>
          <w:sz w:val="28"/>
          <w:szCs w:val="28"/>
          <w:u w:val="none"/>
          <w:lang w:val="zh-TW" w:eastAsia="zh-CN" w:bidi="zh-TW"/>
        </w:rPr>
        <w:t>，</w:t>
      </w:r>
      <w:r>
        <w:rPr>
          <w:rFonts w:hint="eastAsia" w:asciiTheme="minorEastAsia" w:hAnsiTheme="minorEastAsia" w:eastAsiaTheme="minorEastAsia" w:cstheme="minorEastAsia"/>
          <w:color w:val="000000"/>
          <w:kern w:val="2"/>
          <w:sz w:val="28"/>
          <w:szCs w:val="28"/>
          <w:u w:val="none"/>
          <w:lang w:val="zh-TW" w:eastAsia="zh-TW" w:bidi="zh-TW"/>
        </w:rPr>
        <w:t>或泄露给第三方。</w:t>
      </w:r>
    </w:p>
    <w:p w14:paraId="0B2E2D2C">
      <w:pPr>
        <w:widowControl w:val="0"/>
        <w:wordWrap/>
        <w:spacing w:line="360" w:lineRule="auto"/>
        <w:ind w:left="0" w:firstLine="560"/>
        <w:jc w:val="both"/>
        <w:rPr>
          <w:rFonts w:hint="eastAsia" w:asciiTheme="minorEastAsia" w:hAnsiTheme="minorEastAsia" w:eastAsiaTheme="minorEastAsia" w:cstheme="minorEastAsia"/>
          <w:kern w:val="2"/>
          <w:sz w:val="28"/>
          <w:szCs w:val="28"/>
          <w:u w:val="single"/>
          <w:lang w:val="zh-TW" w:eastAsia="zh-CN" w:bidi="zh-TW"/>
        </w:rPr>
      </w:pPr>
      <w:r>
        <w:rPr>
          <w:rFonts w:hint="eastAsia" w:asciiTheme="minorEastAsia" w:hAnsiTheme="minorEastAsia" w:eastAsiaTheme="minorEastAsia" w:cstheme="minorEastAsia"/>
          <w:color w:val="000000"/>
          <w:kern w:val="2"/>
          <w:sz w:val="28"/>
          <w:szCs w:val="28"/>
          <w:u w:val="none"/>
          <w:lang w:val="en-US" w:eastAsia="zh-CN" w:bidi="en-US"/>
        </w:rPr>
        <w:t>5.6</w:t>
      </w:r>
      <w:r>
        <w:rPr>
          <w:rFonts w:hint="eastAsia" w:asciiTheme="minorEastAsia" w:hAnsiTheme="minorEastAsia" w:eastAsiaTheme="minorEastAsia" w:cstheme="minorEastAsia"/>
          <w:color w:val="000000"/>
          <w:kern w:val="2"/>
          <w:sz w:val="28"/>
          <w:szCs w:val="28"/>
          <w:u w:val="none"/>
          <w:lang w:val="zh-TW" w:eastAsia="zh-TW" w:bidi="zh-TW"/>
        </w:rPr>
        <w:t>涉密人员范围：乙方及乙方项目参与人员</w:t>
      </w:r>
      <w:r>
        <w:rPr>
          <w:rFonts w:hint="eastAsia" w:asciiTheme="minorEastAsia" w:hAnsiTheme="minorEastAsia" w:eastAsiaTheme="minorEastAsia" w:cstheme="minorEastAsia"/>
          <w:color w:val="000000"/>
          <w:kern w:val="2"/>
          <w:sz w:val="28"/>
          <w:szCs w:val="28"/>
          <w:u w:val="none"/>
          <w:lang w:val="zh-TW" w:eastAsia="zh-CN" w:bidi="zh-TW"/>
        </w:rPr>
        <w:t>。</w:t>
      </w:r>
    </w:p>
    <w:p w14:paraId="34EDDB9E">
      <w:pPr>
        <w:widowControl w:val="0"/>
        <w:wordWrap/>
        <w:spacing w:line="360" w:lineRule="auto"/>
        <w:ind w:left="0" w:firstLine="560"/>
        <w:jc w:val="both"/>
        <w:rPr>
          <w:rFonts w:hint="eastAsia" w:asciiTheme="minorEastAsia" w:hAnsiTheme="minorEastAsia" w:eastAsiaTheme="minorEastAsia" w:cstheme="minorEastAsia"/>
          <w:kern w:val="2"/>
          <w:sz w:val="28"/>
          <w:szCs w:val="28"/>
          <w:u w:val="single"/>
          <w:lang w:val="zh-TW" w:eastAsia="zh-CN" w:bidi="zh-TW"/>
        </w:rPr>
      </w:pPr>
      <w:r>
        <w:rPr>
          <w:rFonts w:hint="eastAsia" w:asciiTheme="minorEastAsia" w:hAnsiTheme="minorEastAsia" w:eastAsiaTheme="minorEastAsia" w:cstheme="minorEastAsia"/>
          <w:color w:val="000000"/>
          <w:kern w:val="2"/>
          <w:sz w:val="28"/>
          <w:szCs w:val="28"/>
          <w:u w:val="none"/>
          <w:lang w:val="en-US" w:eastAsia="zh-CN" w:bidi="en-US"/>
        </w:rPr>
        <w:t>5.</w:t>
      </w:r>
      <w:r>
        <w:rPr>
          <w:rFonts w:hint="eastAsia" w:asciiTheme="minorEastAsia" w:hAnsiTheme="minorEastAsia" w:eastAsiaTheme="minorEastAsia" w:cstheme="minorEastAsia"/>
          <w:color w:val="000000"/>
          <w:kern w:val="2"/>
          <w:sz w:val="28"/>
          <w:szCs w:val="28"/>
          <w:u w:val="none"/>
          <w:lang w:val="zh-TW" w:eastAsia="zh-TW" w:bidi="zh-TW"/>
        </w:rPr>
        <w:t>7保密期限：自合同签订之日至相关保密信息向社会公开之日</w:t>
      </w:r>
      <w:r>
        <w:rPr>
          <w:rFonts w:hint="eastAsia" w:asciiTheme="minorEastAsia" w:hAnsiTheme="minorEastAsia" w:eastAsiaTheme="minorEastAsia" w:cstheme="minorEastAsia"/>
          <w:color w:val="000000"/>
          <w:kern w:val="2"/>
          <w:sz w:val="28"/>
          <w:szCs w:val="28"/>
          <w:u w:val="none"/>
          <w:lang w:val="zh-TW" w:eastAsia="zh-CN" w:bidi="zh-TW"/>
        </w:rPr>
        <w:t>。</w:t>
      </w:r>
    </w:p>
    <w:p w14:paraId="27721D6B">
      <w:pPr>
        <w:widowControl w:val="0"/>
        <w:wordWrap/>
        <w:spacing w:line="360" w:lineRule="auto"/>
        <w:ind w:left="0" w:firstLine="560"/>
        <w:jc w:val="both"/>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5.</w:t>
      </w:r>
      <w:r>
        <w:rPr>
          <w:rFonts w:hint="eastAsia" w:asciiTheme="minorEastAsia" w:hAnsiTheme="minorEastAsia" w:eastAsiaTheme="minorEastAsia" w:cstheme="minorEastAsia"/>
          <w:color w:val="000000"/>
          <w:kern w:val="2"/>
          <w:sz w:val="28"/>
          <w:szCs w:val="28"/>
          <w:u w:val="none"/>
          <w:lang w:val="zh-TW" w:eastAsia="zh-TW" w:bidi="zh-TW"/>
        </w:rPr>
        <w:t>8泄密责任：因乙方违反保密内容对甲方造成损害的，依法承担相应的赔偿责任。</w:t>
      </w:r>
    </w:p>
    <w:p w14:paraId="26BCBC45">
      <w:pPr>
        <w:widowControl w:val="0"/>
        <w:wordWrap/>
        <w:spacing w:line="360" w:lineRule="auto"/>
        <w:ind w:left="0" w:firstLine="620"/>
        <w:jc w:val="left"/>
        <w:rPr>
          <w:rFonts w:hint="eastAsia" w:asciiTheme="minorEastAsia" w:hAnsiTheme="minorEastAsia" w:eastAsiaTheme="minorEastAsia" w:cstheme="minorEastAsia"/>
          <w:b/>
          <w:bCs/>
          <w:color w:val="000000"/>
          <w:kern w:val="2"/>
          <w:sz w:val="28"/>
          <w:szCs w:val="28"/>
          <w:u w:val="none"/>
          <w:lang w:val="zh-TW" w:eastAsia="zh-TW" w:bidi="zh-TW"/>
        </w:rPr>
      </w:pPr>
      <w:bookmarkStart w:id="64" w:name="bookmark24"/>
      <w:bookmarkStart w:id="65" w:name="bookmark23"/>
      <w:bookmarkStart w:id="66" w:name="bookmark25"/>
      <w:r>
        <w:rPr>
          <w:rFonts w:hint="eastAsia" w:asciiTheme="minorEastAsia" w:hAnsiTheme="minorEastAsia" w:eastAsiaTheme="minorEastAsia" w:cstheme="minorEastAsia"/>
          <w:b/>
          <w:bCs/>
          <w:color w:val="000000"/>
          <w:kern w:val="2"/>
          <w:sz w:val="28"/>
          <w:szCs w:val="28"/>
          <w:u w:val="none"/>
          <w:lang w:val="zh-TW" w:eastAsia="zh-TW" w:bidi="zh-TW"/>
        </w:rPr>
        <w:t>第六条</w:t>
      </w:r>
      <w:r>
        <w:rPr>
          <w:rFonts w:hint="eastAsia" w:asciiTheme="minorEastAsia" w:hAnsiTheme="minorEastAsia" w:eastAsiaTheme="minorEastAsia" w:cstheme="minorEastAsia"/>
          <w:b/>
          <w:bCs/>
          <w:color w:val="000000"/>
          <w:kern w:val="2"/>
          <w:sz w:val="28"/>
          <w:szCs w:val="28"/>
          <w:u w:val="none"/>
          <w:lang w:val="zh-TW" w:eastAsia="zh-CN" w:bidi="zh-TW"/>
        </w:rPr>
        <w:t xml:space="preserve"> </w:t>
      </w:r>
      <w:r>
        <w:rPr>
          <w:rFonts w:hint="eastAsia" w:asciiTheme="minorEastAsia" w:hAnsiTheme="minorEastAsia" w:eastAsiaTheme="minorEastAsia" w:cstheme="minorEastAsia"/>
          <w:b/>
          <w:bCs/>
          <w:color w:val="000000"/>
          <w:kern w:val="2"/>
          <w:sz w:val="28"/>
          <w:szCs w:val="28"/>
          <w:u w:val="none"/>
          <w:lang w:val="zh-TW" w:eastAsia="zh-TW" w:bidi="zh-TW"/>
        </w:rPr>
        <w:t>合同的变更、解除和违约责任</w:t>
      </w:r>
      <w:bookmarkEnd w:id="64"/>
      <w:bookmarkEnd w:id="65"/>
      <w:bookmarkEnd w:id="66"/>
    </w:p>
    <w:p w14:paraId="086211ED">
      <w:pPr>
        <w:widowControl w:val="0"/>
        <w:wordWrap/>
        <w:spacing w:line="360" w:lineRule="auto"/>
        <w:ind w:left="0" w:firstLine="600"/>
        <w:jc w:val="both"/>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6.1</w:t>
      </w:r>
      <w:r>
        <w:rPr>
          <w:rFonts w:hint="eastAsia" w:asciiTheme="minorEastAsia" w:hAnsiTheme="minorEastAsia" w:eastAsiaTheme="minorEastAsia" w:cstheme="minorEastAsia"/>
          <w:color w:val="000000"/>
          <w:kern w:val="2"/>
          <w:sz w:val="28"/>
          <w:szCs w:val="28"/>
          <w:u w:val="none"/>
          <w:lang w:val="zh-TW" w:eastAsia="zh-TW" w:bidi="zh-TW"/>
        </w:rPr>
        <w:t>由于非乙方原因致使</w:t>
      </w:r>
      <w:r>
        <w:rPr>
          <w:rFonts w:hint="eastAsia" w:asciiTheme="minorEastAsia" w:hAnsiTheme="minorEastAsia" w:eastAsiaTheme="minorEastAsia" w:cstheme="minorEastAsia"/>
          <w:color w:val="000000"/>
          <w:kern w:val="2"/>
          <w:sz w:val="28"/>
          <w:szCs w:val="28"/>
          <w:u w:val="none"/>
          <w:lang w:val="en-US" w:eastAsia="zh-CN" w:bidi="zh-TW"/>
        </w:rPr>
        <w:t>项目</w:t>
      </w:r>
      <w:r>
        <w:rPr>
          <w:rFonts w:hint="eastAsia" w:asciiTheme="minorEastAsia" w:hAnsiTheme="minorEastAsia" w:eastAsiaTheme="minorEastAsia" w:cstheme="minorEastAsia"/>
          <w:color w:val="000000"/>
          <w:kern w:val="2"/>
          <w:sz w:val="28"/>
          <w:szCs w:val="28"/>
          <w:u w:val="none"/>
          <w:lang w:val="zh-TW" w:eastAsia="zh-TW" w:bidi="zh-TW"/>
        </w:rPr>
        <w:t>延误，则项目</w:t>
      </w:r>
      <w:r>
        <w:rPr>
          <w:rFonts w:hint="eastAsia" w:asciiTheme="minorEastAsia" w:hAnsiTheme="minorEastAsia" w:eastAsiaTheme="minorEastAsia" w:cstheme="minorEastAsia"/>
          <w:color w:val="000000"/>
          <w:kern w:val="2"/>
          <w:sz w:val="28"/>
          <w:szCs w:val="28"/>
          <w:u w:val="none"/>
          <w:lang w:val="en-US" w:eastAsia="zh-CN" w:bidi="zh-TW"/>
        </w:rPr>
        <w:t>服务</w:t>
      </w:r>
      <w:r>
        <w:rPr>
          <w:rFonts w:hint="eastAsia" w:asciiTheme="minorEastAsia" w:hAnsiTheme="minorEastAsia" w:eastAsiaTheme="minorEastAsia" w:cstheme="minorEastAsia"/>
          <w:color w:val="000000"/>
          <w:kern w:val="2"/>
          <w:sz w:val="28"/>
          <w:szCs w:val="28"/>
          <w:u w:val="none"/>
          <w:lang w:val="zh-TW" w:eastAsia="zh-TW" w:bidi="zh-TW"/>
        </w:rPr>
        <w:t>时间相应顺延，乙方不承担任何违约责任。由于乙方自身过错致使</w:t>
      </w:r>
      <w:r>
        <w:rPr>
          <w:rFonts w:hint="eastAsia" w:asciiTheme="minorEastAsia" w:hAnsiTheme="minorEastAsia" w:eastAsiaTheme="minorEastAsia" w:cstheme="minorEastAsia"/>
          <w:color w:val="000000"/>
          <w:kern w:val="2"/>
          <w:sz w:val="28"/>
          <w:szCs w:val="28"/>
          <w:u w:val="none"/>
          <w:lang w:val="en-US" w:eastAsia="zh-CN" w:bidi="zh-TW"/>
        </w:rPr>
        <w:t>服务</w:t>
      </w:r>
      <w:r>
        <w:rPr>
          <w:rFonts w:hint="eastAsia" w:asciiTheme="minorEastAsia" w:hAnsiTheme="minorEastAsia" w:eastAsiaTheme="minorEastAsia" w:cstheme="minorEastAsia"/>
          <w:color w:val="000000"/>
          <w:kern w:val="2"/>
          <w:sz w:val="28"/>
          <w:szCs w:val="28"/>
          <w:u w:val="none"/>
          <w:lang w:val="zh-TW" w:eastAsia="zh-TW" w:bidi="zh-TW"/>
        </w:rPr>
        <w:t>工作未按规定时间完成的，乙方应按合同总额的</w:t>
      </w:r>
      <w:r>
        <w:rPr>
          <w:rFonts w:hint="eastAsia" w:asciiTheme="minorEastAsia" w:hAnsiTheme="minorEastAsia" w:eastAsiaTheme="minorEastAsia" w:cstheme="minorEastAsia"/>
          <w:color w:val="000000"/>
          <w:kern w:val="2"/>
          <w:sz w:val="28"/>
          <w:szCs w:val="28"/>
          <w:u w:val="none"/>
          <w:lang w:val="en-US" w:eastAsia="zh-CN" w:bidi="zh-TW"/>
        </w:rPr>
        <w:t>3</w:t>
      </w:r>
      <w:r>
        <w:rPr>
          <w:rFonts w:hint="eastAsia" w:asciiTheme="minorEastAsia" w:hAnsiTheme="minorEastAsia" w:eastAsiaTheme="minorEastAsia" w:cstheme="minorEastAsia"/>
          <w:color w:val="000000"/>
          <w:kern w:val="2"/>
          <w:sz w:val="28"/>
          <w:szCs w:val="28"/>
          <w:u w:val="none"/>
          <w:lang w:val="zh-TW" w:eastAsia="zh-TW" w:bidi="zh-TW"/>
        </w:rPr>
        <w:t>%承担违约金。</w:t>
      </w:r>
    </w:p>
    <w:p w14:paraId="0B67FAC5">
      <w:pPr>
        <w:widowControl w:val="0"/>
        <w:wordWrap/>
        <w:spacing w:line="360" w:lineRule="auto"/>
        <w:ind w:left="0" w:firstLine="600"/>
        <w:jc w:val="both"/>
        <w:rPr>
          <w:rFonts w:hint="eastAsia" w:asciiTheme="minorEastAsia" w:hAnsiTheme="minorEastAsia" w:eastAsiaTheme="minorEastAsia" w:cstheme="minorEastAsia"/>
          <w:kern w:val="2"/>
          <w:sz w:val="28"/>
          <w:szCs w:val="28"/>
          <w:u w:val="non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6.2</w:t>
      </w:r>
      <w:r>
        <w:rPr>
          <w:rFonts w:hint="eastAsia" w:asciiTheme="minorEastAsia" w:hAnsiTheme="minorEastAsia" w:eastAsiaTheme="minorEastAsia" w:cstheme="minorEastAsia"/>
          <w:color w:val="000000"/>
          <w:kern w:val="2"/>
          <w:sz w:val="28"/>
          <w:szCs w:val="28"/>
          <w:u w:val="none"/>
          <w:lang w:val="zh-TW" w:eastAsia="zh-TW" w:bidi="zh-TW"/>
        </w:rPr>
        <w:t>在项目</w:t>
      </w:r>
      <w:r>
        <w:rPr>
          <w:rFonts w:hint="eastAsia" w:asciiTheme="minorEastAsia" w:hAnsiTheme="minorEastAsia" w:eastAsiaTheme="minorEastAsia" w:cstheme="minorEastAsia"/>
          <w:color w:val="000000"/>
          <w:kern w:val="2"/>
          <w:sz w:val="28"/>
          <w:szCs w:val="28"/>
          <w:u w:val="none"/>
          <w:lang w:val="en-US" w:eastAsia="zh-CN" w:bidi="zh-TW"/>
        </w:rPr>
        <w:t>服务</w:t>
      </w:r>
      <w:r>
        <w:rPr>
          <w:rFonts w:hint="eastAsia" w:asciiTheme="minorEastAsia" w:hAnsiTheme="minorEastAsia" w:eastAsiaTheme="minorEastAsia" w:cstheme="minorEastAsia"/>
          <w:color w:val="000000"/>
          <w:kern w:val="2"/>
          <w:sz w:val="28"/>
          <w:szCs w:val="28"/>
          <w:u w:val="none"/>
          <w:lang w:val="zh-TW" w:eastAsia="zh-TW" w:bidi="zh-TW"/>
        </w:rPr>
        <w:t>期满后，若因乙方原因致使项目</w:t>
      </w:r>
      <w:r>
        <w:rPr>
          <w:rFonts w:hint="eastAsia" w:asciiTheme="minorEastAsia" w:hAnsiTheme="minorEastAsia" w:eastAsiaTheme="minorEastAsia" w:cstheme="minorEastAsia"/>
          <w:color w:val="000000"/>
          <w:kern w:val="2"/>
          <w:sz w:val="28"/>
          <w:szCs w:val="28"/>
          <w:u w:val="none"/>
          <w:lang w:val="en-US" w:eastAsia="zh-CN" w:bidi="zh-TW"/>
        </w:rPr>
        <w:t>服务</w:t>
      </w:r>
      <w:r>
        <w:rPr>
          <w:rFonts w:hint="eastAsia" w:asciiTheme="minorEastAsia" w:hAnsiTheme="minorEastAsia" w:eastAsiaTheme="minorEastAsia" w:cstheme="minorEastAsia"/>
          <w:color w:val="000000"/>
          <w:kern w:val="2"/>
          <w:sz w:val="28"/>
          <w:szCs w:val="28"/>
          <w:u w:val="none"/>
          <w:lang w:val="zh-TW" w:eastAsia="zh-TW" w:bidi="zh-TW"/>
        </w:rPr>
        <w:t>质量达不到质量标准或出现质量问题的，乙方负责完善达标和改善质量问题。</w:t>
      </w:r>
    </w:p>
    <w:p w14:paraId="6920780C">
      <w:pPr>
        <w:widowControl w:val="0"/>
        <w:wordWrap/>
        <w:spacing w:line="360" w:lineRule="auto"/>
        <w:ind w:left="0" w:firstLine="600"/>
        <w:jc w:val="both"/>
        <w:rPr>
          <w:rFonts w:hint="eastAsia" w:asciiTheme="minorEastAsia" w:hAnsiTheme="minorEastAsia" w:eastAsiaTheme="minorEastAsia" w:cstheme="minorEastAsia"/>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6.3</w:t>
      </w:r>
      <w:r>
        <w:rPr>
          <w:rFonts w:hint="eastAsia" w:asciiTheme="minorEastAsia" w:hAnsiTheme="minorEastAsia" w:eastAsiaTheme="minorEastAsia" w:cstheme="minorEastAsia"/>
          <w:color w:val="000000"/>
          <w:kern w:val="2"/>
          <w:sz w:val="28"/>
          <w:szCs w:val="28"/>
          <w:u w:val="none"/>
          <w:lang w:val="zh-TW" w:eastAsia="zh-TW" w:bidi="zh-TW"/>
        </w:rPr>
        <w:t>非因甲乙双方主观原因导致合同内容难以实现或无法履行的，双方协商解除本合同，妥善做好相关资料和工作的移交。因合同的解除造成一方损失明显且巨大时，另一方应给予补偿，补偿数额协商不成的，可依法诉讼予以解决。</w:t>
      </w:r>
    </w:p>
    <w:p w14:paraId="6F1E50FD">
      <w:pPr>
        <w:widowControl w:val="0"/>
        <w:wordWrap/>
        <w:spacing w:line="360" w:lineRule="auto"/>
        <w:ind w:left="0" w:firstLine="600"/>
        <w:jc w:val="both"/>
        <w:rPr>
          <w:rFonts w:hint="eastAsia" w:asciiTheme="minorEastAsia" w:hAnsiTheme="minorEastAsia" w:eastAsiaTheme="minorEastAsia" w:cstheme="minorEastAsia"/>
          <w:color w:val="000000"/>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6.4</w:t>
      </w:r>
      <w:r>
        <w:rPr>
          <w:rFonts w:hint="eastAsia" w:asciiTheme="minorEastAsia" w:hAnsiTheme="minorEastAsia" w:eastAsiaTheme="minorEastAsia" w:cstheme="minorEastAsia"/>
          <w:color w:val="000000"/>
          <w:kern w:val="2"/>
          <w:sz w:val="28"/>
          <w:szCs w:val="28"/>
          <w:u w:val="none"/>
          <w:lang w:val="zh-TW" w:eastAsia="zh-TW" w:bidi="zh-TW"/>
        </w:rPr>
        <w:t>甲乙双方应完全履行本合同约定，任何一方违约均应向守约方支付合同总额</w:t>
      </w:r>
      <w:r>
        <w:rPr>
          <w:rFonts w:hint="eastAsia" w:asciiTheme="minorEastAsia" w:hAnsiTheme="minorEastAsia" w:eastAsiaTheme="minorEastAsia" w:cstheme="minorEastAsia"/>
          <w:color w:val="000000"/>
          <w:kern w:val="2"/>
          <w:sz w:val="28"/>
          <w:szCs w:val="28"/>
          <w:u w:val="none"/>
          <w:lang w:val="en-US" w:eastAsia="zh-CN" w:bidi="zh-TW"/>
        </w:rPr>
        <w:t>1</w:t>
      </w:r>
      <w:r>
        <w:rPr>
          <w:rFonts w:hint="eastAsia" w:asciiTheme="minorEastAsia" w:hAnsiTheme="minorEastAsia" w:eastAsiaTheme="minorEastAsia" w:cstheme="minorEastAsia"/>
          <w:color w:val="000000"/>
          <w:kern w:val="2"/>
          <w:sz w:val="28"/>
          <w:szCs w:val="28"/>
          <w:u w:val="none"/>
          <w:lang w:val="zh-TW" w:eastAsia="zh-TW" w:bidi="zh-TW"/>
        </w:rPr>
        <w:t>0%的违约金，给守约方造成损失的，还应赔偿守约方的全部损失。</w:t>
      </w:r>
    </w:p>
    <w:p w14:paraId="4A0A84DF">
      <w:pPr>
        <w:widowControl w:val="0"/>
        <w:wordWrap/>
        <w:spacing w:line="360" w:lineRule="auto"/>
        <w:ind w:left="0" w:firstLine="600"/>
        <w:jc w:val="both"/>
        <w:rPr>
          <w:rFonts w:hint="eastAsia" w:asciiTheme="minorEastAsia" w:hAnsiTheme="minorEastAsia" w:eastAsiaTheme="minorEastAsia" w:cstheme="minorEastAsia"/>
          <w:color w:val="000000"/>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6.5</w:t>
      </w:r>
      <w:r>
        <w:rPr>
          <w:rFonts w:hint="eastAsia" w:asciiTheme="minorEastAsia" w:hAnsiTheme="minorEastAsia" w:eastAsiaTheme="minorEastAsia" w:cstheme="minorEastAsia"/>
          <w:color w:val="000000"/>
          <w:kern w:val="2"/>
          <w:sz w:val="28"/>
          <w:szCs w:val="28"/>
          <w:u w:val="none"/>
          <w:lang w:val="zh-TW" w:eastAsia="zh-TW" w:bidi="zh-TW"/>
        </w:rPr>
        <w:t>甲方无故未能按合同规定支付相应进度价款超过30天</w:t>
      </w:r>
      <w:r>
        <w:rPr>
          <w:rFonts w:hint="eastAsia" w:asciiTheme="minorEastAsia" w:hAnsiTheme="minorEastAsia" w:eastAsiaTheme="minorEastAsia" w:cstheme="minorEastAsia"/>
          <w:color w:val="000000"/>
          <w:kern w:val="2"/>
          <w:sz w:val="28"/>
          <w:szCs w:val="28"/>
          <w:u w:val="none"/>
          <w:lang w:val="en-US" w:eastAsia="zh-CN" w:bidi="zh-TW"/>
        </w:rPr>
        <w:t>,</w:t>
      </w:r>
      <w:r>
        <w:rPr>
          <w:rFonts w:hint="eastAsia" w:asciiTheme="minorEastAsia" w:hAnsiTheme="minorEastAsia" w:eastAsiaTheme="minorEastAsia" w:cstheme="minorEastAsia"/>
          <w:color w:val="000000"/>
          <w:kern w:val="2"/>
          <w:sz w:val="28"/>
          <w:szCs w:val="28"/>
          <w:u w:val="none"/>
          <w:lang w:val="zh-TW" w:eastAsia="zh-TW" w:bidi="zh-TW"/>
        </w:rPr>
        <w:t>且仍不支付进度款的，乙方有权解除合同，但合同解除不代表免除甲方的付款义务。</w:t>
      </w:r>
      <w:bookmarkStart w:id="67" w:name="bookmark26"/>
      <w:bookmarkEnd w:id="67"/>
    </w:p>
    <w:p w14:paraId="67F51790">
      <w:pPr>
        <w:widowControl w:val="0"/>
        <w:wordWrap/>
        <w:spacing w:line="360" w:lineRule="auto"/>
        <w:ind w:left="0" w:firstLine="600"/>
        <w:jc w:val="both"/>
        <w:rPr>
          <w:rFonts w:hint="eastAsia" w:asciiTheme="minorEastAsia" w:hAnsiTheme="minorEastAsia" w:eastAsiaTheme="minorEastAsia" w:cstheme="minorEastAsia"/>
          <w:color w:val="000000"/>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zh-TW" w:eastAsia="zh-CN" w:bidi="zh-TW"/>
        </w:rPr>
        <w:t>6</w:t>
      </w:r>
      <w:r>
        <w:rPr>
          <w:rFonts w:hint="eastAsia" w:asciiTheme="minorEastAsia" w:hAnsiTheme="minorEastAsia" w:eastAsiaTheme="minorEastAsia" w:cstheme="minorEastAsia"/>
          <w:color w:val="000000"/>
          <w:kern w:val="2"/>
          <w:sz w:val="28"/>
          <w:szCs w:val="28"/>
          <w:u w:val="none"/>
          <w:lang w:val="zh-TW" w:eastAsia="zh-TW" w:bidi="zh-TW"/>
        </w:rPr>
        <w:t>.6本合同重大变更问题由甲乙双方共同研究决定，并经甲方书面确认后执行。</w:t>
      </w:r>
    </w:p>
    <w:p w14:paraId="73163999">
      <w:pPr>
        <w:widowControl w:val="0"/>
        <w:wordWrap/>
        <w:spacing w:line="360" w:lineRule="auto"/>
        <w:ind w:left="0" w:firstLine="600"/>
        <w:jc w:val="both"/>
        <w:rPr>
          <w:rFonts w:hint="eastAsia" w:asciiTheme="minorEastAsia" w:hAnsiTheme="minorEastAsia" w:eastAsiaTheme="minorEastAsia" w:cstheme="minorEastAsia"/>
          <w:color w:val="000000"/>
          <w:kern w:val="2"/>
          <w:sz w:val="28"/>
          <w:szCs w:val="28"/>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6.7</w:t>
      </w:r>
      <w:r>
        <w:rPr>
          <w:rFonts w:hint="eastAsia" w:asciiTheme="minorEastAsia" w:hAnsiTheme="minorEastAsia" w:eastAsiaTheme="minorEastAsia" w:cstheme="minorEastAsia"/>
          <w:color w:val="000000"/>
          <w:kern w:val="2"/>
          <w:sz w:val="28"/>
          <w:szCs w:val="28"/>
          <w:u w:val="none"/>
          <w:lang w:val="zh-TW" w:eastAsia="zh-TW" w:bidi="zh-TW"/>
        </w:rPr>
        <w:t>甲乙双方因履行本合同发生争议时</w:t>
      </w:r>
      <w:r>
        <w:rPr>
          <w:rFonts w:hint="eastAsia" w:asciiTheme="minorEastAsia" w:hAnsiTheme="minorEastAsia" w:eastAsiaTheme="minorEastAsia" w:cstheme="minorEastAsia"/>
          <w:color w:val="000000"/>
          <w:kern w:val="2"/>
          <w:sz w:val="28"/>
          <w:szCs w:val="28"/>
          <w:u w:val="none"/>
          <w:lang w:val="zh-TW" w:eastAsia="zh-CN" w:bidi="zh-TW"/>
        </w:rPr>
        <w:t>，</w:t>
      </w:r>
      <w:r>
        <w:rPr>
          <w:rFonts w:hint="eastAsia" w:asciiTheme="minorEastAsia" w:hAnsiTheme="minorEastAsia" w:eastAsiaTheme="minorEastAsia" w:cstheme="minorEastAsia"/>
          <w:color w:val="000000"/>
          <w:kern w:val="2"/>
          <w:sz w:val="28"/>
          <w:szCs w:val="28"/>
          <w:u w:val="none"/>
          <w:lang w:val="zh-TW" w:eastAsia="zh-TW" w:bidi="zh-TW"/>
        </w:rPr>
        <w:t>应通过友好协商方式解决</w:t>
      </w:r>
      <w:r>
        <w:rPr>
          <w:rFonts w:hint="eastAsia" w:asciiTheme="minorEastAsia" w:hAnsiTheme="minorEastAsia" w:eastAsiaTheme="minorEastAsia" w:cstheme="minorEastAsia"/>
          <w:color w:val="000000"/>
          <w:kern w:val="2"/>
          <w:sz w:val="28"/>
          <w:szCs w:val="28"/>
          <w:u w:val="none"/>
          <w:lang w:val="zh-TW" w:eastAsia="zh-CN" w:bidi="zh-TW"/>
        </w:rPr>
        <w:t>，</w:t>
      </w:r>
      <w:r>
        <w:rPr>
          <w:rFonts w:hint="eastAsia" w:asciiTheme="minorEastAsia" w:hAnsiTheme="minorEastAsia" w:eastAsiaTheme="minorEastAsia" w:cstheme="minorEastAsia"/>
          <w:color w:val="000000"/>
          <w:kern w:val="2"/>
          <w:sz w:val="28"/>
          <w:szCs w:val="28"/>
          <w:u w:val="none"/>
          <w:lang w:val="zh-TW" w:eastAsia="zh-TW" w:bidi="zh-TW"/>
        </w:rPr>
        <w:t>协商不成的，可向甲方所在地人民法院提起诉讼。</w:t>
      </w:r>
    </w:p>
    <w:p w14:paraId="258EBF9F">
      <w:pPr>
        <w:widowControl w:val="0"/>
        <w:wordWrap/>
        <w:spacing w:line="360" w:lineRule="auto"/>
        <w:ind w:left="0" w:firstLine="620"/>
        <w:jc w:val="left"/>
        <w:rPr>
          <w:rFonts w:hint="eastAsia" w:asciiTheme="minorEastAsia" w:hAnsiTheme="minorEastAsia" w:eastAsiaTheme="minorEastAsia" w:cstheme="minorEastAsia"/>
          <w:b/>
          <w:bCs/>
          <w:color w:val="000000"/>
          <w:kern w:val="2"/>
          <w:sz w:val="28"/>
          <w:szCs w:val="28"/>
          <w:u w:val="none"/>
          <w:lang w:val="zh-TW" w:eastAsia="zh-TW" w:bidi="zh-TW"/>
        </w:rPr>
      </w:pPr>
      <w:bookmarkStart w:id="68" w:name="bookmark27"/>
      <w:bookmarkStart w:id="69" w:name="bookmark29"/>
      <w:bookmarkStart w:id="70" w:name="bookmark28"/>
      <w:r>
        <w:rPr>
          <w:rFonts w:hint="eastAsia" w:asciiTheme="minorEastAsia" w:hAnsiTheme="minorEastAsia" w:eastAsiaTheme="minorEastAsia" w:cstheme="minorEastAsia"/>
          <w:b/>
          <w:bCs/>
          <w:color w:val="000000"/>
          <w:kern w:val="2"/>
          <w:sz w:val="28"/>
          <w:szCs w:val="28"/>
          <w:u w:val="none"/>
          <w:lang w:val="zh-TW" w:eastAsia="zh-TW" w:bidi="zh-TW"/>
        </w:rPr>
        <w:t>第七条</w:t>
      </w:r>
      <w:r>
        <w:rPr>
          <w:rFonts w:hint="eastAsia" w:asciiTheme="minorEastAsia" w:hAnsiTheme="minorEastAsia" w:eastAsiaTheme="minorEastAsia" w:cstheme="minorEastAsia"/>
          <w:b/>
          <w:bCs/>
          <w:color w:val="000000"/>
          <w:kern w:val="2"/>
          <w:sz w:val="28"/>
          <w:szCs w:val="28"/>
          <w:u w:val="none"/>
          <w:lang w:val="zh-TW" w:eastAsia="zh-CN" w:bidi="zh-TW"/>
        </w:rPr>
        <w:t xml:space="preserve"> </w:t>
      </w:r>
      <w:r>
        <w:rPr>
          <w:rFonts w:hint="eastAsia" w:asciiTheme="minorEastAsia" w:hAnsiTheme="minorEastAsia" w:eastAsiaTheme="minorEastAsia" w:cstheme="minorEastAsia"/>
          <w:b/>
          <w:bCs/>
          <w:color w:val="000000"/>
          <w:kern w:val="2"/>
          <w:sz w:val="28"/>
          <w:szCs w:val="28"/>
          <w:u w:val="none"/>
          <w:lang w:val="zh-TW" w:eastAsia="zh-TW" w:bidi="zh-TW"/>
        </w:rPr>
        <w:t>附则</w:t>
      </w:r>
      <w:bookmarkEnd w:id="68"/>
      <w:bookmarkEnd w:id="69"/>
      <w:bookmarkEnd w:id="70"/>
    </w:p>
    <w:p w14:paraId="73118440">
      <w:pPr>
        <w:widowControl w:val="0"/>
        <w:tabs>
          <w:tab w:val="left" w:pos="930"/>
        </w:tabs>
        <w:wordWrap/>
        <w:spacing w:line="360" w:lineRule="auto"/>
        <w:ind w:left="0" w:firstLine="560" w:firstLineChars="200"/>
        <w:jc w:val="both"/>
        <w:rPr>
          <w:rFonts w:hint="eastAsia" w:asciiTheme="minorEastAsia" w:hAnsiTheme="minorEastAsia" w:eastAsiaTheme="minorEastAsia" w:cstheme="minorEastAsia"/>
          <w:kern w:val="2"/>
          <w:sz w:val="28"/>
          <w:szCs w:val="28"/>
          <w:u w:val="single"/>
          <w:lang w:val="zh-TW" w:eastAsia="zh-TW" w:bidi="zh-TW"/>
        </w:rPr>
      </w:pPr>
      <w:bookmarkStart w:id="71" w:name="bookmark30"/>
      <w:bookmarkEnd w:id="71"/>
      <w:r>
        <w:rPr>
          <w:rFonts w:hint="eastAsia" w:asciiTheme="minorEastAsia" w:hAnsiTheme="minorEastAsia" w:eastAsiaTheme="minorEastAsia" w:cstheme="minorEastAsia"/>
          <w:color w:val="000000"/>
          <w:kern w:val="2"/>
          <w:sz w:val="28"/>
          <w:szCs w:val="28"/>
          <w:u w:val="none"/>
          <w:lang w:val="zh-TW" w:eastAsia="zh-CN" w:bidi="zh-TW"/>
        </w:rPr>
        <w:t>7</w:t>
      </w:r>
      <w:r>
        <w:rPr>
          <w:rFonts w:hint="eastAsia" w:asciiTheme="minorEastAsia" w:hAnsiTheme="minorEastAsia" w:eastAsiaTheme="minorEastAsia" w:cstheme="minorEastAsia"/>
          <w:color w:val="000000"/>
          <w:kern w:val="2"/>
          <w:sz w:val="28"/>
          <w:szCs w:val="28"/>
          <w:u w:val="none"/>
          <w:lang w:val="zh-TW" w:eastAsia="zh-TW" w:bidi="zh-TW"/>
        </w:rPr>
        <w:t>.1与本合同有关的招标文件、中标通知书、乙方投标文件、附件等均为本合同不可分割的部分,如招标文件、中标通知书、乙方投标文件等与本合同不一致的，以本合同约定为准；如招标文件、中标通知书、乙方投标文件等之间不一致的，按招标文件、中标通知书、乙方投标文件的顺序优先执行。</w:t>
      </w:r>
    </w:p>
    <w:p w14:paraId="3377EFAB">
      <w:pPr>
        <w:widowControl w:val="0"/>
        <w:tabs>
          <w:tab w:val="left" w:pos="930"/>
        </w:tabs>
        <w:wordWrap/>
        <w:spacing w:line="360" w:lineRule="auto"/>
        <w:ind w:left="0" w:firstLine="560" w:firstLineChars="200"/>
        <w:jc w:val="both"/>
        <w:rPr>
          <w:rFonts w:hint="eastAsia" w:asciiTheme="minorEastAsia" w:hAnsiTheme="minorEastAsia" w:eastAsiaTheme="minorEastAsia" w:cstheme="minorEastAsia"/>
          <w:kern w:val="2"/>
          <w:sz w:val="28"/>
          <w:szCs w:val="28"/>
          <w:highlight w:val="none"/>
          <w:u w:val="single"/>
          <w:lang w:val="zh-TW" w:eastAsia="zh-TW" w:bidi="zh-TW"/>
        </w:rPr>
      </w:pPr>
      <w:r>
        <w:rPr>
          <w:rFonts w:hint="eastAsia" w:asciiTheme="minorEastAsia" w:hAnsiTheme="minorEastAsia" w:eastAsiaTheme="minorEastAsia" w:cstheme="minorEastAsia"/>
          <w:color w:val="000000"/>
          <w:kern w:val="2"/>
          <w:sz w:val="28"/>
          <w:szCs w:val="28"/>
          <w:u w:val="none"/>
          <w:lang w:val="en-US" w:eastAsia="zh-CN" w:bidi="en-US"/>
        </w:rPr>
        <w:t>7.2</w:t>
      </w:r>
      <w:r>
        <w:rPr>
          <w:rFonts w:hint="eastAsia" w:asciiTheme="minorEastAsia" w:hAnsiTheme="minorEastAsia" w:eastAsiaTheme="minorEastAsia" w:cstheme="minorEastAsia"/>
          <w:color w:val="000000"/>
          <w:kern w:val="2"/>
          <w:sz w:val="28"/>
          <w:szCs w:val="28"/>
          <w:u w:val="none"/>
          <w:lang w:val="zh-TW" w:eastAsia="zh-TW" w:bidi="zh-TW"/>
        </w:rPr>
        <w:t>本合同一式</w:t>
      </w:r>
      <w:r>
        <w:rPr>
          <w:rFonts w:hint="eastAsia" w:asciiTheme="minorEastAsia" w:hAnsiTheme="minorEastAsia" w:eastAsiaTheme="minorEastAsia" w:cstheme="minorEastAsia"/>
          <w:color w:val="000000"/>
          <w:kern w:val="2"/>
          <w:sz w:val="28"/>
          <w:szCs w:val="28"/>
          <w:u w:val="none"/>
          <w:lang w:val="en-US" w:eastAsia="zh-CN" w:bidi="zh-TW"/>
        </w:rPr>
        <w:t>伍</w:t>
      </w:r>
      <w:r>
        <w:rPr>
          <w:rFonts w:hint="eastAsia" w:asciiTheme="minorEastAsia" w:hAnsiTheme="minorEastAsia" w:eastAsiaTheme="minorEastAsia" w:cstheme="minorEastAsia"/>
          <w:color w:val="000000"/>
          <w:kern w:val="2"/>
          <w:sz w:val="28"/>
          <w:szCs w:val="28"/>
          <w:u w:val="none"/>
          <w:lang w:val="zh-TW" w:eastAsia="zh-TW" w:bidi="zh-TW"/>
        </w:rPr>
        <w:t>份，甲方和乙方各执贰份，</w:t>
      </w:r>
      <w:r>
        <w:rPr>
          <w:rFonts w:hint="eastAsia" w:asciiTheme="minorEastAsia" w:hAnsiTheme="minorEastAsia" w:eastAsiaTheme="minorEastAsia" w:cstheme="minorEastAsia"/>
          <w:color w:val="000000"/>
          <w:kern w:val="2"/>
          <w:sz w:val="28"/>
          <w:szCs w:val="28"/>
          <w:u w:val="none"/>
          <w:lang w:val="en-US" w:eastAsia="zh-CN" w:bidi="zh-TW"/>
        </w:rPr>
        <w:t>送太原市公共资源交易中心壹份备案，均为正本，具有同等法律效力。</w:t>
      </w:r>
    </w:p>
    <w:p w14:paraId="50B77F27">
      <w:pPr>
        <w:widowControl w:val="0"/>
        <w:tabs>
          <w:tab w:val="left" w:pos="930"/>
        </w:tabs>
        <w:wordWrap/>
        <w:spacing w:line="360" w:lineRule="auto"/>
        <w:ind w:left="0" w:firstLine="560" w:firstLineChars="200"/>
        <w:jc w:val="both"/>
        <w:rPr>
          <w:rFonts w:hint="eastAsia" w:asciiTheme="minorEastAsia" w:hAnsiTheme="minorEastAsia" w:eastAsiaTheme="minorEastAsia" w:cstheme="minorEastAsia"/>
          <w:color w:val="000000"/>
          <w:kern w:val="2"/>
          <w:sz w:val="28"/>
          <w:szCs w:val="28"/>
          <w:u w:val="none"/>
          <w:lang w:val="en-US" w:eastAsia="zh-CN" w:bidi="en-US"/>
        </w:rPr>
      </w:pPr>
      <w:r>
        <w:rPr>
          <w:rFonts w:hint="eastAsia" w:asciiTheme="minorEastAsia" w:hAnsiTheme="minorEastAsia" w:eastAsiaTheme="minorEastAsia" w:cstheme="minorEastAsia"/>
          <w:color w:val="000000"/>
          <w:kern w:val="2"/>
          <w:sz w:val="28"/>
          <w:szCs w:val="28"/>
          <w:u w:val="none"/>
          <w:lang w:val="en-US" w:eastAsia="zh-CN" w:bidi="en-US"/>
        </w:rPr>
        <w:t>7.3本合同未尽事宜，双方可签订补充合同加以约定，补充合同与本合同具有同等法律效力。</w:t>
      </w:r>
    </w:p>
    <w:p w14:paraId="03C8AD61">
      <w:pPr>
        <w:widowControl w:val="0"/>
        <w:tabs>
          <w:tab w:val="left" w:pos="930"/>
        </w:tabs>
        <w:wordWrap/>
        <w:spacing w:line="360" w:lineRule="auto"/>
        <w:ind w:left="0" w:firstLine="560" w:firstLineChars="200"/>
        <w:jc w:val="both"/>
        <w:rPr>
          <w:rFonts w:hint="eastAsia" w:asciiTheme="minorEastAsia" w:hAnsiTheme="minorEastAsia" w:eastAsiaTheme="minorEastAsia" w:cstheme="minorEastAsia"/>
          <w:color w:val="000000"/>
          <w:kern w:val="2"/>
          <w:sz w:val="28"/>
          <w:szCs w:val="28"/>
          <w:u w:val="none"/>
          <w:lang w:val="en-US" w:eastAsia="zh-CN" w:bidi="en-US"/>
        </w:rPr>
      </w:pPr>
      <w:r>
        <w:rPr>
          <w:rFonts w:hint="eastAsia" w:asciiTheme="minorEastAsia" w:hAnsiTheme="minorEastAsia" w:eastAsiaTheme="minorEastAsia" w:cstheme="minorEastAsia"/>
          <w:color w:val="000000"/>
          <w:kern w:val="2"/>
          <w:sz w:val="28"/>
          <w:szCs w:val="28"/>
          <w:u w:val="none"/>
          <w:lang w:val="en-US" w:eastAsia="zh-CN" w:bidi="en-US"/>
        </w:rPr>
        <w:t>7.4本合同经双方法定代表人或委托代理人签字并加盖公章之日起生效。</w:t>
      </w:r>
    </w:p>
    <w:p w14:paraId="1F21C165">
      <w:pPr>
        <w:widowControl/>
        <w:wordWrap w:val="0"/>
        <w:spacing w:line="360" w:lineRule="exact"/>
        <w:ind w:left="0"/>
        <w:rPr>
          <w:rFonts w:hint="eastAsia" w:asciiTheme="minorEastAsia" w:hAnsiTheme="minorEastAsia" w:eastAsiaTheme="minorEastAsia" w:cstheme="minorEastAsia"/>
          <w:b/>
          <w:bCs/>
          <w:color w:val="000000"/>
          <w:kern w:val="0"/>
          <w:sz w:val="28"/>
          <w:szCs w:val="28"/>
          <w:lang w:bidi="zh-TW"/>
        </w:rPr>
      </w:pPr>
    </w:p>
    <w:tbl>
      <w:tblPr>
        <w:tblStyle w:val="24"/>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8"/>
        <w:gridCol w:w="4868"/>
      </w:tblGrid>
      <w:tr w14:paraId="060E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68" w:type="dxa"/>
          </w:tcPr>
          <w:p w14:paraId="2AB64DEB">
            <w:pPr>
              <w:widowControl/>
              <w:wordWrap w:val="0"/>
              <w:spacing w:line="360" w:lineRule="auto"/>
              <w:ind w:left="0"/>
              <w:jc w:val="left"/>
              <w:rPr>
                <w:rFonts w:hint="eastAsia" w:asciiTheme="minorEastAsia" w:hAnsiTheme="minorEastAsia" w:eastAsiaTheme="minorEastAsia" w:cstheme="minorEastAsia"/>
                <w:b w:val="0"/>
                <w:bCs w:val="0"/>
                <w:color w:val="000000"/>
                <w:kern w:val="0"/>
                <w:sz w:val="28"/>
                <w:szCs w:val="28"/>
                <w:lang w:bidi="zh-TW"/>
              </w:rPr>
            </w:pPr>
            <w:r>
              <w:rPr>
                <w:rFonts w:hint="eastAsia" w:asciiTheme="minorEastAsia" w:hAnsiTheme="minorEastAsia" w:eastAsiaTheme="minorEastAsia" w:cstheme="minorEastAsia"/>
                <w:b w:val="0"/>
                <w:bCs w:val="0"/>
                <w:color w:val="000000"/>
                <w:kern w:val="0"/>
                <w:sz w:val="28"/>
                <w:szCs w:val="28"/>
                <w:lang w:bidi="zh-TW"/>
              </w:rPr>
              <w:t>甲方（盖章）:</w:t>
            </w:r>
          </w:p>
          <w:p w14:paraId="61003B6B">
            <w:pPr>
              <w:keepNext w:val="0"/>
              <w:keepLines w:val="0"/>
              <w:pageBreakBefore w:val="0"/>
              <w:widowControl w:val="0"/>
              <w:kinsoku/>
              <w:wordWrap w:val="0"/>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b w:val="0"/>
                <w:bCs w:val="0"/>
                <w:color w:val="000000"/>
                <w:kern w:val="0"/>
                <w:sz w:val="24"/>
                <w:szCs w:val="24"/>
                <w:lang w:val="en-US" w:eastAsia="zh-CN" w:bidi="zh-TW"/>
              </w:rPr>
            </w:pPr>
          </w:p>
          <w:p w14:paraId="280B2D7D">
            <w:pPr>
              <w:wordWrap w:val="0"/>
              <w:spacing w:after="120"/>
              <w:ind w:left="0" w:leftChars="0" w:firstLine="0" w:firstLineChars="0"/>
              <w:jc w:val="left"/>
              <w:rPr>
                <w:rFonts w:hint="eastAsia" w:asciiTheme="minorEastAsia" w:hAnsiTheme="minorEastAsia" w:eastAsiaTheme="minorEastAsia" w:cstheme="minorEastAsia"/>
                <w:b w:val="0"/>
                <w:bCs w:val="0"/>
                <w:color w:val="000000"/>
                <w:kern w:val="0"/>
                <w:sz w:val="28"/>
                <w:szCs w:val="28"/>
                <w:lang w:val="en-US" w:eastAsia="zh-CN" w:bidi="zh-TW"/>
              </w:rPr>
            </w:pPr>
            <w:r>
              <w:rPr>
                <w:rFonts w:hint="eastAsia" w:asciiTheme="minorEastAsia" w:hAnsiTheme="minorEastAsia" w:eastAsiaTheme="minorEastAsia" w:cstheme="minorEastAsia"/>
                <w:b w:val="0"/>
                <w:bCs w:val="0"/>
                <w:color w:val="000000"/>
                <w:kern w:val="0"/>
                <w:sz w:val="28"/>
                <w:szCs w:val="28"/>
                <w:lang w:val="en-US" w:eastAsia="zh-CN" w:bidi="zh-TW"/>
              </w:rPr>
              <w:t>单位地址：</w:t>
            </w:r>
          </w:p>
          <w:p w14:paraId="7077525F">
            <w:pPr>
              <w:keepNext w:val="0"/>
              <w:keepLines w:val="0"/>
              <w:pageBreakBefore w:val="0"/>
              <w:widowControl w:val="0"/>
              <w:kinsoku/>
              <w:wordWrap w:val="0"/>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b w:val="0"/>
                <w:bCs w:val="0"/>
                <w:color w:val="000000"/>
                <w:kern w:val="0"/>
                <w:sz w:val="24"/>
                <w:szCs w:val="24"/>
                <w:lang w:val="en-US" w:eastAsia="zh-CN" w:bidi="zh-TW"/>
              </w:rPr>
            </w:pPr>
          </w:p>
          <w:p w14:paraId="3B055053">
            <w:pPr>
              <w:wordWrap w:val="0"/>
              <w:spacing w:after="120"/>
              <w:ind w:left="0" w:leftChars="0" w:firstLine="0" w:firstLineChars="0"/>
              <w:jc w:val="left"/>
              <w:rPr>
                <w:rFonts w:hint="eastAsia" w:asciiTheme="minorEastAsia" w:hAnsiTheme="minorEastAsia" w:eastAsiaTheme="minorEastAsia" w:cstheme="minorEastAsia"/>
                <w:b w:val="0"/>
                <w:bCs w:val="0"/>
                <w:color w:val="000000"/>
                <w:kern w:val="0"/>
                <w:sz w:val="28"/>
                <w:szCs w:val="28"/>
                <w:lang w:val="en-US" w:eastAsia="zh-CN" w:bidi="ar-SA"/>
              </w:rPr>
            </w:pPr>
            <w:r>
              <w:rPr>
                <w:rFonts w:hint="eastAsia" w:asciiTheme="minorEastAsia" w:hAnsiTheme="minorEastAsia" w:eastAsiaTheme="minorEastAsia" w:cstheme="minorEastAsia"/>
                <w:b w:val="0"/>
                <w:bCs w:val="0"/>
                <w:color w:val="000000"/>
                <w:kern w:val="0"/>
                <w:sz w:val="28"/>
                <w:szCs w:val="28"/>
                <w:lang w:val="en-US" w:eastAsia="zh-CN" w:bidi="ar-SA"/>
              </w:rPr>
              <w:t>法定代</w:t>
            </w:r>
            <w:r>
              <w:rPr>
                <w:rFonts w:hint="eastAsia" w:asciiTheme="minorEastAsia" w:hAnsiTheme="minorEastAsia" w:eastAsiaTheme="minorEastAsia" w:cstheme="minorEastAsia"/>
                <w:b w:val="0"/>
                <w:bCs w:val="0"/>
                <w:color w:val="000000"/>
                <w:kern w:val="0"/>
                <w:sz w:val="28"/>
                <w:szCs w:val="28"/>
                <w:lang w:val="en-US" w:eastAsia="zh-TW" w:bidi="ar-SA"/>
              </w:rPr>
              <w:t>表</w:t>
            </w:r>
            <w:r>
              <w:rPr>
                <w:rFonts w:hint="eastAsia" w:asciiTheme="minorEastAsia" w:hAnsiTheme="minorEastAsia" w:eastAsiaTheme="minorEastAsia" w:cstheme="minorEastAsia"/>
                <w:b w:val="0"/>
                <w:bCs w:val="0"/>
                <w:color w:val="000000"/>
                <w:kern w:val="0"/>
                <w:sz w:val="28"/>
                <w:szCs w:val="28"/>
                <w:lang w:val="en-US" w:eastAsia="zh-CN" w:bidi="ar-SA"/>
              </w:rPr>
              <w:t>人:</w:t>
            </w:r>
          </w:p>
          <w:p w14:paraId="78D56EB6">
            <w:pPr>
              <w:keepNext w:val="0"/>
              <w:keepLines w:val="0"/>
              <w:pageBreakBefore w:val="0"/>
              <w:widowControl w:val="0"/>
              <w:kinsoku/>
              <w:wordWrap w:val="0"/>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b w:val="0"/>
                <w:bCs w:val="0"/>
                <w:color w:val="000000"/>
                <w:kern w:val="0"/>
                <w:sz w:val="24"/>
                <w:szCs w:val="24"/>
                <w:lang w:val="en-US" w:eastAsia="zh-CN" w:bidi="zh-TW"/>
              </w:rPr>
            </w:pPr>
          </w:p>
          <w:p w14:paraId="35F2E918">
            <w:pPr>
              <w:widowControl w:val="0"/>
              <w:wordWrap/>
              <w:spacing w:line="240" w:lineRule="auto"/>
              <w:ind w:left="0" w:firstLine="0"/>
              <w:jc w:val="left"/>
              <w:rPr>
                <w:rFonts w:hint="eastAsia" w:asciiTheme="minorEastAsia" w:hAnsiTheme="minorEastAsia" w:eastAsiaTheme="minorEastAsia" w:cstheme="minorEastAsia"/>
                <w:b w:val="0"/>
                <w:bCs w:val="0"/>
                <w:kern w:val="2"/>
                <w:sz w:val="28"/>
                <w:szCs w:val="28"/>
                <w:u w:val="single"/>
                <w:lang w:val="zh-TW" w:eastAsia="zh-TW" w:bidi="zh-TW"/>
              </w:rPr>
            </w:pPr>
            <w:r>
              <w:rPr>
                <w:rFonts w:hint="eastAsia" w:asciiTheme="minorEastAsia" w:hAnsiTheme="minorEastAsia" w:eastAsiaTheme="minorEastAsia" w:cstheme="minorEastAsia"/>
                <w:b w:val="0"/>
                <w:bCs w:val="0"/>
                <w:color w:val="000000"/>
                <w:kern w:val="2"/>
                <w:sz w:val="28"/>
                <w:szCs w:val="28"/>
                <w:u w:val="none"/>
                <w:lang w:val="zh-TW" w:eastAsia="zh-TW" w:bidi="zh-TW"/>
              </w:rPr>
              <w:t>委托代理人：</w:t>
            </w:r>
          </w:p>
          <w:p w14:paraId="0BAB3CBB">
            <w:pPr>
              <w:keepNext w:val="0"/>
              <w:keepLines w:val="0"/>
              <w:pageBreakBefore w:val="0"/>
              <w:widowControl w:val="0"/>
              <w:kinsoku/>
              <w:wordWrap w:val="0"/>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b w:val="0"/>
                <w:bCs w:val="0"/>
                <w:color w:val="000000"/>
                <w:kern w:val="0"/>
                <w:sz w:val="24"/>
                <w:szCs w:val="24"/>
                <w:lang w:val="en-US" w:eastAsia="zh-CN" w:bidi="zh-TW"/>
              </w:rPr>
            </w:pPr>
          </w:p>
          <w:p w14:paraId="1F3E700A">
            <w:pPr>
              <w:wordWrap w:val="0"/>
              <w:spacing w:after="120"/>
              <w:ind w:left="0" w:leftChars="0" w:firstLine="0" w:firstLineChars="0"/>
              <w:jc w:val="left"/>
              <w:rPr>
                <w:rFonts w:hint="eastAsia" w:asciiTheme="minorEastAsia" w:hAnsiTheme="minorEastAsia" w:eastAsiaTheme="minorEastAsia" w:cstheme="minorEastAsia"/>
                <w:b w:val="0"/>
                <w:bCs w:val="0"/>
                <w:kern w:val="0"/>
                <w:sz w:val="28"/>
                <w:szCs w:val="28"/>
                <w:lang w:val="en-US" w:eastAsia="zh-CN" w:bidi="zh-TW"/>
              </w:rPr>
            </w:pPr>
            <w:r>
              <w:rPr>
                <w:rFonts w:hint="eastAsia" w:asciiTheme="minorEastAsia" w:hAnsiTheme="minorEastAsia" w:eastAsiaTheme="minorEastAsia" w:cstheme="minorEastAsia"/>
                <w:b w:val="0"/>
                <w:bCs w:val="0"/>
                <w:color w:val="000000"/>
                <w:kern w:val="0"/>
                <w:sz w:val="28"/>
                <w:szCs w:val="28"/>
                <w:lang w:val="en-US" w:eastAsia="zh-CN" w:bidi="ar-SA"/>
              </w:rPr>
              <w:t xml:space="preserve">日  期：    年   月   </w:t>
            </w:r>
            <w:r>
              <w:rPr>
                <w:rFonts w:hint="eastAsia" w:asciiTheme="minorEastAsia" w:hAnsiTheme="minorEastAsia" w:eastAsiaTheme="minorEastAsia" w:cstheme="minorEastAsia"/>
                <w:b w:val="0"/>
                <w:bCs w:val="0"/>
                <w:kern w:val="0"/>
                <w:sz w:val="28"/>
                <w:szCs w:val="28"/>
                <w:lang w:val="en-US" w:eastAsia="zh-CN" w:bidi="ar-SA"/>
              </w:rPr>
              <w:t>日</w:t>
            </w:r>
          </w:p>
        </w:tc>
        <w:tc>
          <w:tcPr>
            <w:tcW w:w="4868" w:type="dxa"/>
          </w:tcPr>
          <w:p w14:paraId="4178FD5D">
            <w:pPr>
              <w:widowControl/>
              <w:wordWrap w:val="0"/>
              <w:spacing w:line="360" w:lineRule="auto"/>
              <w:ind w:left="0"/>
              <w:jc w:val="left"/>
              <w:rPr>
                <w:rFonts w:hint="eastAsia" w:asciiTheme="minorEastAsia" w:hAnsiTheme="minorEastAsia" w:eastAsiaTheme="minorEastAsia" w:cstheme="minorEastAsia"/>
                <w:b w:val="0"/>
                <w:bCs w:val="0"/>
                <w:color w:val="000000"/>
                <w:kern w:val="0"/>
                <w:sz w:val="28"/>
                <w:szCs w:val="28"/>
                <w:lang w:bidi="zh-TW"/>
              </w:rPr>
            </w:pPr>
            <w:r>
              <w:rPr>
                <w:rFonts w:hint="eastAsia" w:asciiTheme="minorEastAsia" w:hAnsiTheme="minorEastAsia" w:eastAsiaTheme="minorEastAsia" w:cstheme="minorEastAsia"/>
                <w:b w:val="0"/>
                <w:bCs w:val="0"/>
                <w:color w:val="000000"/>
                <w:kern w:val="0"/>
                <w:sz w:val="28"/>
                <w:szCs w:val="28"/>
                <w:lang w:bidi="zh-TW"/>
              </w:rPr>
              <w:t>乙方（盖章）：</w:t>
            </w:r>
          </w:p>
          <w:p w14:paraId="572E443F">
            <w:pPr>
              <w:keepNext w:val="0"/>
              <w:keepLines w:val="0"/>
              <w:pageBreakBefore w:val="0"/>
              <w:widowControl w:val="0"/>
              <w:kinsoku/>
              <w:wordWrap w:val="0"/>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b w:val="0"/>
                <w:bCs w:val="0"/>
                <w:color w:val="000000"/>
                <w:kern w:val="0"/>
                <w:sz w:val="24"/>
                <w:szCs w:val="24"/>
                <w:lang w:val="en-US" w:eastAsia="zh-CN" w:bidi="zh-TW"/>
              </w:rPr>
            </w:pPr>
          </w:p>
          <w:p w14:paraId="0599AD34">
            <w:pPr>
              <w:wordWrap w:val="0"/>
              <w:spacing w:after="120"/>
              <w:ind w:left="0" w:leftChars="0" w:firstLine="0" w:firstLineChars="0"/>
              <w:jc w:val="left"/>
              <w:rPr>
                <w:rFonts w:hint="eastAsia" w:asciiTheme="minorEastAsia" w:hAnsiTheme="minorEastAsia" w:eastAsiaTheme="minorEastAsia" w:cstheme="minorEastAsia"/>
                <w:b w:val="0"/>
                <w:bCs w:val="0"/>
                <w:color w:val="000000"/>
                <w:kern w:val="0"/>
                <w:sz w:val="28"/>
                <w:szCs w:val="28"/>
                <w:lang w:val="en-US" w:eastAsia="zh-CN" w:bidi="zh-TW"/>
              </w:rPr>
            </w:pPr>
            <w:r>
              <w:rPr>
                <w:rFonts w:hint="eastAsia" w:asciiTheme="minorEastAsia" w:hAnsiTheme="minorEastAsia" w:eastAsiaTheme="minorEastAsia" w:cstheme="minorEastAsia"/>
                <w:b w:val="0"/>
                <w:bCs w:val="0"/>
                <w:color w:val="000000"/>
                <w:kern w:val="0"/>
                <w:sz w:val="28"/>
                <w:szCs w:val="28"/>
                <w:lang w:val="en-US" w:eastAsia="zh-CN" w:bidi="zh-TW"/>
              </w:rPr>
              <w:t>单位地址：</w:t>
            </w:r>
          </w:p>
          <w:p w14:paraId="73F72A2E">
            <w:pPr>
              <w:keepNext w:val="0"/>
              <w:keepLines w:val="0"/>
              <w:pageBreakBefore w:val="0"/>
              <w:widowControl w:val="0"/>
              <w:kinsoku/>
              <w:wordWrap w:val="0"/>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b w:val="0"/>
                <w:bCs w:val="0"/>
                <w:color w:val="000000"/>
                <w:kern w:val="0"/>
                <w:sz w:val="24"/>
                <w:szCs w:val="24"/>
                <w:lang w:val="en-US" w:eastAsia="zh-CN" w:bidi="zh-TW"/>
              </w:rPr>
            </w:pPr>
          </w:p>
          <w:p w14:paraId="3C0DEA45">
            <w:pPr>
              <w:wordWrap w:val="0"/>
              <w:spacing w:after="120"/>
              <w:ind w:left="0" w:leftChars="0" w:firstLine="0" w:firstLineChars="0"/>
              <w:jc w:val="left"/>
              <w:rPr>
                <w:rFonts w:hint="eastAsia" w:asciiTheme="minorEastAsia" w:hAnsiTheme="minorEastAsia" w:eastAsiaTheme="minorEastAsia" w:cstheme="minorEastAsia"/>
                <w:b w:val="0"/>
                <w:bCs w:val="0"/>
                <w:color w:val="000000"/>
                <w:kern w:val="0"/>
                <w:sz w:val="28"/>
                <w:szCs w:val="28"/>
                <w:lang w:val="en-US" w:eastAsia="zh-CN" w:bidi="ar-SA"/>
              </w:rPr>
            </w:pPr>
            <w:r>
              <w:rPr>
                <w:rFonts w:hint="eastAsia" w:asciiTheme="minorEastAsia" w:hAnsiTheme="minorEastAsia" w:eastAsiaTheme="minorEastAsia" w:cstheme="minorEastAsia"/>
                <w:b w:val="0"/>
                <w:bCs w:val="0"/>
                <w:color w:val="000000"/>
                <w:kern w:val="0"/>
                <w:sz w:val="28"/>
                <w:szCs w:val="28"/>
                <w:lang w:val="en-US" w:eastAsia="zh-CN" w:bidi="ar-SA"/>
              </w:rPr>
              <w:t>法定代</w:t>
            </w:r>
            <w:r>
              <w:rPr>
                <w:rFonts w:hint="eastAsia" w:asciiTheme="minorEastAsia" w:hAnsiTheme="minorEastAsia" w:eastAsiaTheme="minorEastAsia" w:cstheme="minorEastAsia"/>
                <w:b w:val="0"/>
                <w:bCs w:val="0"/>
                <w:color w:val="000000"/>
                <w:kern w:val="0"/>
                <w:sz w:val="28"/>
                <w:szCs w:val="28"/>
                <w:lang w:val="en-US" w:eastAsia="zh-TW" w:bidi="ar-SA"/>
              </w:rPr>
              <w:t>表</w:t>
            </w:r>
            <w:r>
              <w:rPr>
                <w:rFonts w:hint="eastAsia" w:asciiTheme="minorEastAsia" w:hAnsiTheme="minorEastAsia" w:eastAsiaTheme="minorEastAsia" w:cstheme="minorEastAsia"/>
                <w:b w:val="0"/>
                <w:bCs w:val="0"/>
                <w:color w:val="000000"/>
                <w:kern w:val="0"/>
                <w:sz w:val="28"/>
                <w:szCs w:val="28"/>
                <w:lang w:val="en-US" w:eastAsia="zh-CN" w:bidi="ar-SA"/>
              </w:rPr>
              <w:t>人:</w:t>
            </w:r>
          </w:p>
          <w:p w14:paraId="386FE036">
            <w:pPr>
              <w:keepNext w:val="0"/>
              <w:keepLines w:val="0"/>
              <w:pageBreakBefore w:val="0"/>
              <w:widowControl w:val="0"/>
              <w:kinsoku/>
              <w:wordWrap w:val="0"/>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b w:val="0"/>
                <w:bCs w:val="0"/>
                <w:color w:val="000000"/>
                <w:kern w:val="0"/>
                <w:sz w:val="24"/>
                <w:szCs w:val="24"/>
                <w:lang w:val="en-US" w:eastAsia="zh-CN" w:bidi="zh-TW"/>
              </w:rPr>
            </w:pPr>
          </w:p>
          <w:p w14:paraId="437202A0">
            <w:pPr>
              <w:widowControl w:val="0"/>
              <w:wordWrap/>
              <w:spacing w:line="240" w:lineRule="auto"/>
              <w:ind w:left="0" w:firstLine="0"/>
              <w:jc w:val="left"/>
              <w:rPr>
                <w:rFonts w:hint="eastAsia" w:asciiTheme="minorEastAsia" w:hAnsiTheme="minorEastAsia" w:eastAsiaTheme="minorEastAsia" w:cstheme="minorEastAsia"/>
                <w:b w:val="0"/>
                <w:bCs w:val="0"/>
                <w:kern w:val="2"/>
                <w:sz w:val="28"/>
                <w:szCs w:val="28"/>
                <w:u w:val="single"/>
                <w:lang w:val="zh-TW" w:eastAsia="zh-TW" w:bidi="zh-TW"/>
              </w:rPr>
            </w:pPr>
            <w:r>
              <w:rPr>
                <w:rFonts w:hint="eastAsia" w:asciiTheme="minorEastAsia" w:hAnsiTheme="minorEastAsia" w:eastAsiaTheme="minorEastAsia" w:cstheme="minorEastAsia"/>
                <w:b w:val="0"/>
                <w:bCs w:val="0"/>
                <w:color w:val="000000"/>
                <w:kern w:val="2"/>
                <w:sz w:val="28"/>
                <w:szCs w:val="28"/>
                <w:u w:val="none"/>
                <w:lang w:val="zh-TW" w:eastAsia="zh-TW" w:bidi="zh-TW"/>
              </w:rPr>
              <w:t>委托代理人：</w:t>
            </w:r>
          </w:p>
          <w:p w14:paraId="33169115">
            <w:pPr>
              <w:keepNext w:val="0"/>
              <w:keepLines w:val="0"/>
              <w:pageBreakBefore w:val="0"/>
              <w:widowControl w:val="0"/>
              <w:kinsoku/>
              <w:wordWrap w:val="0"/>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b w:val="0"/>
                <w:bCs w:val="0"/>
                <w:color w:val="000000"/>
                <w:kern w:val="0"/>
                <w:sz w:val="24"/>
                <w:szCs w:val="24"/>
                <w:lang w:val="en-US" w:eastAsia="zh-CN" w:bidi="zh-TW"/>
              </w:rPr>
            </w:pPr>
          </w:p>
          <w:p w14:paraId="25B2C88A">
            <w:pPr>
              <w:wordWrap w:val="0"/>
              <w:spacing w:after="120"/>
              <w:ind w:left="0" w:leftChars="0" w:firstLine="0" w:firstLineChars="0"/>
              <w:jc w:val="left"/>
              <w:rPr>
                <w:rFonts w:hint="eastAsia" w:asciiTheme="minorEastAsia" w:hAnsiTheme="minorEastAsia" w:eastAsiaTheme="minorEastAsia" w:cstheme="minorEastAsia"/>
                <w:b/>
                <w:bCs/>
                <w:kern w:val="0"/>
                <w:sz w:val="28"/>
                <w:szCs w:val="28"/>
                <w:lang w:val="en-US" w:eastAsia="zh-CN" w:bidi="zh-TW"/>
              </w:rPr>
            </w:pPr>
            <w:r>
              <w:rPr>
                <w:rFonts w:hint="eastAsia" w:asciiTheme="minorEastAsia" w:hAnsiTheme="minorEastAsia" w:eastAsiaTheme="minorEastAsia" w:cstheme="minorEastAsia"/>
                <w:b w:val="0"/>
                <w:bCs w:val="0"/>
                <w:color w:val="000000"/>
                <w:kern w:val="0"/>
                <w:sz w:val="28"/>
                <w:szCs w:val="28"/>
                <w:lang w:val="en-US" w:eastAsia="zh-CN" w:bidi="ar-SA"/>
              </w:rPr>
              <w:t xml:space="preserve">日  期：    年   月   </w:t>
            </w:r>
            <w:r>
              <w:rPr>
                <w:rFonts w:hint="eastAsia" w:asciiTheme="minorEastAsia" w:hAnsiTheme="minorEastAsia" w:eastAsiaTheme="minorEastAsia" w:cstheme="minorEastAsia"/>
                <w:b w:val="0"/>
                <w:bCs w:val="0"/>
                <w:kern w:val="0"/>
                <w:sz w:val="28"/>
                <w:szCs w:val="28"/>
                <w:lang w:val="en-US" w:eastAsia="zh-CN" w:bidi="ar-SA"/>
              </w:rPr>
              <w:t>日</w:t>
            </w:r>
          </w:p>
        </w:tc>
      </w:tr>
    </w:tbl>
    <w:p w14:paraId="0AD04EC6">
      <w:pPr>
        <w:pStyle w:val="11"/>
        <w:rPr>
          <w:rFonts w:hint="eastAsia" w:asciiTheme="minorEastAsia" w:hAnsiTheme="minorEastAsia" w:eastAsiaTheme="minorEastAsia" w:cstheme="minorEastAsia"/>
          <w:color w:val="auto"/>
          <w:sz w:val="32"/>
          <w:szCs w:val="32"/>
          <w:highlight w:val="none"/>
          <w:lang w:val="en-US" w:eastAsia="zh-CN"/>
        </w:rPr>
      </w:pPr>
    </w:p>
    <w:p w14:paraId="567F3A5D">
      <w:pPr>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br w:type="page"/>
      </w:r>
    </w:p>
    <w:p w14:paraId="118E5885">
      <w:pPr>
        <w:keepNext w:val="0"/>
        <w:keepLines w:val="0"/>
        <w:pageBreakBefore w:val="0"/>
        <w:widowControl w:val="0"/>
        <w:tabs>
          <w:tab w:val="left" w:pos="2070"/>
          <w:tab w:val="center" w:pos="4365"/>
        </w:tabs>
        <w:kinsoku/>
        <w:wordWrap/>
        <w:overflowPunct/>
        <w:topLinePunct w:val="0"/>
        <w:autoSpaceDE/>
        <w:autoSpaceDN/>
        <w:bidi w:val="0"/>
        <w:adjustRightInd w:val="0"/>
        <w:snapToGrid w:val="0"/>
        <w:spacing w:line="360" w:lineRule="auto"/>
        <w:ind w:firstLine="643"/>
        <w:jc w:val="center"/>
        <w:textAlignment w:val="auto"/>
        <w:outlineLvl w:val="0"/>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第七部分  投标文件格式</w:t>
      </w:r>
      <w:bookmarkEnd w:id="49"/>
    </w:p>
    <w:p w14:paraId="67222617">
      <w:pPr>
        <w:keepNext w:val="0"/>
        <w:keepLines w:val="0"/>
        <w:pageBreakBefore w:val="0"/>
        <w:widowControl w:val="0"/>
        <w:kinsoku/>
        <w:wordWrap/>
        <w:overflowPunct/>
        <w:topLinePunct w:val="0"/>
        <w:autoSpaceDE/>
        <w:autoSpaceDN/>
        <w:bidi w:val="0"/>
        <w:snapToGrid w:val="0"/>
        <w:spacing w:line="360" w:lineRule="auto"/>
        <w:ind w:firstLine="560"/>
        <w:jc w:val="left"/>
        <w:textAlignment w:val="auto"/>
        <w:rPr>
          <w:rFonts w:ascii="Times New Roman" w:hAnsi="Times New Roman"/>
          <w:color w:val="000000" w:themeColor="text1"/>
          <w:kern w:val="0"/>
          <w:sz w:val="28"/>
          <w:highlight w:val="none"/>
          <w14:textFill>
            <w14:solidFill>
              <w14:schemeClr w14:val="tx1"/>
            </w14:solidFill>
          </w14:textFill>
        </w:rPr>
      </w:pPr>
    </w:p>
    <w:p w14:paraId="07CF1CA7">
      <w:pPr>
        <w:keepNext w:val="0"/>
        <w:keepLines w:val="0"/>
        <w:pageBreakBefore w:val="0"/>
        <w:widowControl w:val="0"/>
        <w:tabs>
          <w:tab w:val="left" w:pos="-737"/>
        </w:tabs>
        <w:kinsoku/>
        <w:wordWrap/>
        <w:overflowPunct/>
        <w:topLinePunct w:val="0"/>
        <w:autoSpaceDE/>
        <w:autoSpaceDN/>
        <w:bidi w:val="0"/>
        <w:snapToGrid w:val="0"/>
        <w:spacing w:line="360" w:lineRule="auto"/>
        <w:ind w:firstLine="482"/>
        <w:jc w:val="left"/>
        <w:textAlignment w:val="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一、投标人提交投标文件须知</w:t>
      </w:r>
    </w:p>
    <w:p w14:paraId="7F9C29EE">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1.投标人应严格按照以下顺序填写和提交下述规定的全部格式文件以及其他有关资料，混乱的编排导致投标文件被误读或查找不到，后果由投标人承担。</w:t>
      </w:r>
    </w:p>
    <w:p w14:paraId="3E5C8771">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2.所附表格中要求回答的全部问题和信息都必须正面回答。</w:t>
      </w:r>
    </w:p>
    <w:p w14:paraId="3E29640D">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3.资格声明的签字人应保证全部声明和问题的回答是真实的和准确的。</w:t>
      </w:r>
    </w:p>
    <w:p w14:paraId="5EAF1D12">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4.评标委员会将应用投标人提交的资料并根据自己的判断，决定投标人履行合同的合格性及能力。</w:t>
      </w:r>
    </w:p>
    <w:p w14:paraId="4CBACBE3">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5.投标人提交的材料将被妥善保存，但不退还。</w:t>
      </w:r>
    </w:p>
    <w:p w14:paraId="24E7C8D2">
      <w:pPr>
        <w:keepNext w:val="0"/>
        <w:keepLines w:val="0"/>
        <w:pageBreakBefore w:val="0"/>
        <w:widowControl w:val="0"/>
        <w:tabs>
          <w:tab w:val="left" w:pos="0"/>
        </w:tabs>
        <w:kinsoku/>
        <w:wordWrap/>
        <w:overflowPunct/>
        <w:topLinePunct w:val="0"/>
        <w:autoSpaceDE/>
        <w:autoSpaceDN/>
        <w:bidi w:val="0"/>
        <w:snapToGrid w:val="0"/>
        <w:spacing w:line="360" w:lineRule="auto"/>
        <w:ind w:firstLine="480"/>
        <w:jc w:val="left"/>
        <w:textAlignment w:val="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6.全部文件应按投标人须知中规定的语言和份数提交。</w:t>
      </w:r>
    </w:p>
    <w:p w14:paraId="0E4A0CD0">
      <w:pPr>
        <w:keepNext w:val="0"/>
        <w:keepLines w:val="0"/>
        <w:pageBreakBefore w:val="0"/>
        <w:widowControl w:val="0"/>
        <w:kinsoku/>
        <w:wordWrap/>
        <w:overflowPunct/>
        <w:topLinePunct w:val="0"/>
        <w:autoSpaceDE/>
        <w:autoSpaceDN/>
        <w:bidi w:val="0"/>
        <w:jc w:val="left"/>
        <w:textAlignment w:val="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br w:type="page"/>
      </w:r>
    </w:p>
    <w:p w14:paraId="3FE6B457">
      <w:pPr>
        <w:keepNext w:val="0"/>
        <w:keepLines w:val="0"/>
        <w:pageBreakBefore w:val="0"/>
        <w:widowControl w:val="0"/>
        <w:tabs>
          <w:tab w:val="left" w:pos="4000"/>
        </w:tabs>
        <w:kinsoku/>
        <w:overflowPunct/>
        <w:bidi w:val="0"/>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投标文件（资格证明文件）封面格式</w:t>
      </w:r>
    </w:p>
    <w:p w14:paraId="2AAA38B5">
      <w:pPr>
        <w:keepNext w:val="0"/>
        <w:keepLines w:val="0"/>
        <w:pageBreakBefore w:val="0"/>
        <w:widowControl w:val="0"/>
        <w:kinsoku/>
        <w:overflowPunct/>
        <w:bidi w:val="0"/>
        <w:snapToGrid w:val="0"/>
        <w:spacing w:line="360" w:lineRule="auto"/>
        <w:ind w:firstLine="560"/>
        <w:jc w:val="right"/>
        <w:rPr>
          <w:rFonts w:ascii="Times New Roman" w:hAnsi="Times New Roman"/>
          <w:color w:val="000000" w:themeColor="text1"/>
          <w:kern w:val="0"/>
          <w:sz w:val="28"/>
          <w:szCs w:val="32"/>
          <w:highlight w:val="none"/>
          <w14:textFill>
            <w14:solidFill>
              <w14:schemeClr w14:val="tx1"/>
            </w14:solidFill>
          </w14:textFill>
        </w:rPr>
      </w:pPr>
    </w:p>
    <w:p w14:paraId="57E17810">
      <w:pPr>
        <w:keepNext w:val="0"/>
        <w:keepLines w:val="0"/>
        <w:pageBreakBefore w:val="0"/>
        <w:widowControl w:val="0"/>
        <w:kinsoku/>
        <w:overflowPunct/>
        <w:bidi w:val="0"/>
        <w:snapToGrid w:val="0"/>
        <w:spacing w:line="360" w:lineRule="auto"/>
        <w:ind w:firstLine="480"/>
        <w:jc w:val="right"/>
        <w:rPr>
          <w:rFonts w:ascii="Times New Roman" w:hAnsi="Times New Roman"/>
          <w:color w:val="000000" w:themeColor="text1"/>
          <w:kern w:val="0"/>
          <w:sz w:val="24"/>
          <w:highlight w:val="none"/>
          <w14:textFill>
            <w14:solidFill>
              <w14:schemeClr w14:val="tx1"/>
            </w14:solidFill>
          </w14:textFill>
        </w:rPr>
      </w:pPr>
    </w:p>
    <w:p w14:paraId="7A7EE6FB">
      <w:pPr>
        <w:keepNext w:val="0"/>
        <w:keepLines w:val="0"/>
        <w:pageBreakBefore w:val="0"/>
        <w:widowControl w:val="0"/>
        <w:kinsoku/>
        <w:overflowPunct/>
        <w:bidi w:val="0"/>
        <w:snapToGrid w:val="0"/>
        <w:spacing w:line="360" w:lineRule="auto"/>
        <w:ind w:firstLine="560"/>
        <w:jc w:val="right"/>
        <w:rPr>
          <w:rFonts w:ascii="Times New Roman" w:hAnsi="Times New Roman"/>
          <w:color w:val="000000" w:themeColor="text1"/>
          <w:kern w:val="0"/>
          <w:sz w:val="28"/>
          <w:szCs w:val="32"/>
          <w:highlight w:val="none"/>
          <w14:textFill>
            <w14:solidFill>
              <w14:schemeClr w14:val="tx1"/>
            </w14:solidFill>
          </w14:textFill>
        </w:rPr>
      </w:pPr>
    </w:p>
    <w:p w14:paraId="1F797EED">
      <w:pPr>
        <w:keepNext w:val="0"/>
        <w:keepLines w:val="0"/>
        <w:pageBreakBefore w:val="0"/>
        <w:widowControl w:val="0"/>
        <w:kinsoku/>
        <w:overflowPunct/>
        <w:bidi w:val="0"/>
        <w:snapToGrid w:val="0"/>
        <w:spacing w:line="360" w:lineRule="auto"/>
        <w:jc w:val="center"/>
        <w:rPr>
          <w:rFonts w:ascii="Times New Roman" w:hAnsi="Times New Roman"/>
          <w:b/>
          <w:color w:val="000000" w:themeColor="text1"/>
          <w:kern w:val="0"/>
          <w:sz w:val="72"/>
          <w:szCs w:val="72"/>
          <w:highlight w:val="none"/>
          <w14:textFill>
            <w14:solidFill>
              <w14:schemeClr w14:val="tx1"/>
            </w14:solidFill>
          </w14:textFill>
        </w:rPr>
      </w:pPr>
      <w:r>
        <w:rPr>
          <w:rFonts w:ascii="Times New Roman" w:hAnsi="Times New Roman"/>
          <w:b/>
          <w:color w:val="000000" w:themeColor="text1"/>
          <w:kern w:val="0"/>
          <w:sz w:val="72"/>
          <w:szCs w:val="72"/>
          <w:highlight w:val="none"/>
          <w14:textFill>
            <w14:solidFill>
              <w14:schemeClr w14:val="tx1"/>
            </w14:solidFill>
          </w14:textFill>
        </w:rPr>
        <w:t>投  标  文  件</w:t>
      </w:r>
    </w:p>
    <w:p w14:paraId="5A181EAD">
      <w:pPr>
        <w:keepNext w:val="0"/>
        <w:keepLines w:val="0"/>
        <w:pageBreakBefore w:val="0"/>
        <w:widowControl w:val="0"/>
        <w:kinsoku/>
        <w:overflowPunct/>
        <w:bidi w:val="0"/>
        <w:snapToGrid w:val="0"/>
        <w:spacing w:line="360" w:lineRule="auto"/>
        <w:ind w:firstLine="883"/>
        <w:jc w:val="center"/>
        <w:rPr>
          <w:rFonts w:ascii="Times New Roman" w:hAnsi="Times New Roman"/>
          <w:b/>
          <w:color w:val="000000" w:themeColor="text1"/>
          <w:kern w:val="0"/>
          <w:sz w:val="44"/>
          <w:szCs w:val="44"/>
          <w:highlight w:val="none"/>
          <w14:textFill>
            <w14:solidFill>
              <w14:schemeClr w14:val="tx1"/>
            </w14:solidFill>
          </w14:textFill>
        </w:rPr>
      </w:pPr>
      <w:r>
        <w:rPr>
          <w:rFonts w:ascii="Times New Roman" w:hAnsi="Times New Roman"/>
          <w:b/>
          <w:color w:val="000000" w:themeColor="text1"/>
          <w:kern w:val="0"/>
          <w:sz w:val="44"/>
          <w:szCs w:val="44"/>
          <w:highlight w:val="none"/>
          <w14:textFill>
            <w14:solidFill>
              <w14:schemeClr w14:val="tx1"/>
            </w14:solidFill>
          </w14:textFill>
        </w:rPr>
        <w:t>（资格证明文件）</w:t>
      </w:r>
    </w:p>
    <w:p w14:paraId="4A92C614">
      <w:pPr>
        <w:keepNext w:val="0"/>
        <w:keepLines w:val="0"/>
        <w:pageBreakBefore w:val="0"/>
        <w:widowControl w:val="0"/>
        <w:kinsoku/>
        <w:overflowPunct/>
        <w:bidi w:val="0"/>
        <w:snapToGrid w:val="0"/>
        <w:spacing w:line="360" w:lineRule="auto"/>
        <w:ind w:firstLine="560"/>
        <w:jc w:val="left"/>
        <w:rPr>
          <w:rFonts w:ascii="Times New Roman" w:hAnsi="Times New Roman"/>
          <w:color w:val="000000" w:themeColor="text1"/>
          <w:kern w:val="0"/>
          <w:sz w:val="28"/>
          <w:szCs w:val="30"/>
          <w:highlight w:val="none"/>
          <w14:textFill>
            <w14:solidFill>
              <w14:schemeClr w14:val="tx1"/>
            </w14:solidFill>
          </w14:textFill>
        </w:rPr>
      </w:pPr>
    </w:p>
    <w:p w14:paraId="5326CD3E">
      <w:pPr>
        <w:keepNext w:val="0"/>
        <w:keepLines w:val="0"/>
        <w:pageBreakBefore w:val="0"/>
        <w:widowControl w:val="0"/>
        <w:kinsoku/>
        <w:overflowPunct/>
        <w:bidi w:val="0"/>
        <w:snapToGrid w:val="0"/>
        <w:spacing w:line="360" w:lineRule="auto"/>
        <w:ind w:firstLine="560" w:firstLineChars="200"/>
        <w:jc w:val="left"/>
        <w:rPr>
          <w:rFonts w:ascii="Times New Roman" w:hAnsi="Times New Roman"/>
          <w:color w:val="000000" w:themeColor="text1"/>
          <w:kern w:val="0"/>
          <w:sz w:val="28"/>
          <w:szCs w:val="30"/>
          <w:highlight w:val="none"/>
          <w14:textFill>
            <w14:solidFill>
              <w14:schemeClr w14:val="tx1"/>
            </w14:solidFill>
          </w14:textFill>
        </w:rPr>
      </w:pPr>
      <w:r>
        <w:rPr>
          <w:rFonts w:ascii="Times New Roman" w:hAnsi="Times New Roman"/>
          <w:color w:val="000000" w:themeColor="text1"/>
          <w:kern w:val="0"/>
          <w:sz w:val="28"/>
          <w:szCs w:val="30"/>
          <w:highlight w:val="none"/>
          <w14:textFill>
            <w14:solidFill>
              <w14:schemeClr w14:val="tx1"/>
            </w14:solidFill>
          </w14:textFill>
        </w:rPr>
        <w:t>项目名称：</w:t>
      </w:r>
    </w:p>
    <w:p w14:paraId="0395E879">
      <w:pPr>
        <w:keepNext w:val="0"/>
        <w:keepLines w:val="0"/>
        <w:pageBreakBefore w:val="0"/>
        <w:widowControl w:val="0"/>
        <w:kinsoku/>
        <w:overflowPunct/>
        <w:bidi w:val="0"/>
        <w:snapToGrid w:val="0"/>
        <w:spacing w:line="360" w:lineRule="auto"/>
        <w:ind w:firstLine="560" w:firstLineChars="200"/>
        <w:jc w:val="left"/>
        <w:rPr>
          <w:rFonts w:ascii="Times New Roman" w:hAnsi="Times New Roman"/>
          <w:color w:val="000000" w:themeColor="text1"/>
          <w:kern w:val="0"/>
          <w:sz w:val="28"/>
          <w:szCs w:val="30"/>
          <w:highlight w:val="none"/>
          <w14:textFill>
            <w14:solidFill>
              <w14:schemeClr w14:val="tx1"/>
            </w14:solidFill>
          </w14:textFill>
        </w:rPr>
      </w:pPr>
      <w:r>
        <w:rPr>
          <w:rFonts w:ascii="Times New Roman" w:hAnsi="Times New Roman"/>
          <w:color w:val="000000" w:themeColor="text1"/>
          <w:kern w:val="0"/>
          <w:sz w:val="28"/>
          <w:szCs w:val="30"/>
          <w:highlight w:val="none"/>
          <w14:textFill>
            <w14:solidFill>
              <w14:schemeClr w14:val="tx1"/>
            </w14:solidFill>
          </w14:textFill>
        </w:rPr>
        <w:t>项目编号：</w:t>
      </w:r>
    </w:p>
    <w:p w14:paraId="7A44B717">
      <w:pPr>
        <w:pStyle w:val="8"/>
        <w:keepNext w:val="0"/>
        <w:keepLines w:val="0"/>
        <w:pageBreakBefore w:val="0"/>
        <w:widowControl w:val="0"/>
        <w:kinsoku/>
        <w:overflowPunct/>
        <w:bidi w:val="0"/>
        <w:ind w:firstLine="480"/>
        <w:rPr>
          <w:rFonts w:ascii="Times New Roman" w:hAnsi="Times New Roman"/>
          <w:color w:val="000000" w:themeColor="text1"/>
          <w:highlight w:val="none"/>
          <w14:textFill>
            <w14:solidFill>
              <w14:schemeClr w14:val="tx1"/>
            </w14:solidFill>
          </w14:textFill>
        </w:rPr>
      </w:pPr>
    </w:p>
    <w:p w14:paraId="3DB21283">
      <w:pPr>
        <w:pStyle w:val="8"/>
        <w:keepNext w:val="0"/>
        <w:keepLines w:val="0"/>
        <w:pageBreakBefore w:val="0"/>
        <w:widowControl w:val="0"/>
        <w:kinsoku/>
        <w:overflowPunct/>
        <w:bidi w:val="0"/>
        <w:ind w:firstLine="480"/>
        <w:rPr>
          <w:rFonts w:ascii="Times New Roman" w:hAnsi="Times New Roman"/>
          <w:color w:val="000000" w:themeColor="text1"/>
          <w:highlight w:val="none"/>
          <w14:textFill>
            <w14:solidFill>
              <w14:schemeClr w14:val="tx1"/>
            </w14:solidFill>
          </w14:textFill>
        </w:rPr>
      </w:pPr>
    </w:p>
    <w:p w14:paraId="6CCC63B0">
      <w:pPr>
        <w:pStyle w:val="8"/>
        <w:keepNext w:val="0"/>
        <w:keepLines w:val="0"/>
        <w:pageBreakBefore w:val="0"/>
        <w:widowControl w:val="0"/>
        <w:kinsoku/>
        <w:overflowPunct/>
        <w:bidi w:val="0"/>
        <w:ind w:firstLine="480"/>
        <w:rPr>
          <w:rFonts w:ascii="Times New Roman" w:hAnsi="Times New Roman"/>
          <w:color w:val="000000" w:themeColor="text1"/>
          <w:highlight w:val="none"/>
          <w14:textFill>
            <w14:solidFill>
              <w14:schemeClr w14:val="tx1"/>
            </w14:solidFill>
          </w14:textFill>
        </w:rPr>
      </w:pPr>
    </w:p>
    <w:p w14:paraId="530B5C2B">
      <w:pPr>
        <w:pStyle w:val="8"/>
        <w:keepNext w:val="0"/>
        <w:keepLines w:val="0"/>
        <w:pageBreakBefore w:val="0"/>
        <w:widowControl w:val="0"/>
        <w:kinsoku/>
        <w:overflowPunct/>
        <w:bidi w:val="0"/>
        <w:ind w:firstLine="480"/>
        <w:rPr>
          <w:rFonts w:ascii="Times New Roman" w:hAnsi="Times New Roman"/>
          <w:color w:val="000000" w:themeColor="text1"/>
          <w:highlight w:val="none"/>
          <w14:textFill>
            <w14:solidFill>
              <w14:schemeClr w14:val="tx1"/>
            </w14:solidFill>
          </w14:textFill>
        </w:rPr>
      </w:pPr>
    </w:p>
    <w:p w14:paraId="5CE18E6A">
      <w:pPr>
        <w:pStyle w:val="18"/>
        <w:keepNext w:val="0"/>
        <w:keepLines w:val="0"/>
        <w:pageBreakBefore w:val="0"/>
        <w:widowControl w:val="0"/>
        <w:kinsoku/>
        <w:overflowPunct/>
        <w:bidi w:val="0"/>
        <w:ind w:firstLine="420"/>
        <w:rPr>
          <w:rFonts w:ascii="Times New Roman" w:hAnsi="Times New Roman" w:cs="Times New Roman"/>
          <w:color w:val="000000" w:themeColor="text1"/>
          <w:highlight w:val="none"/>
          <w14:textFill>
            <w14:solidFill>
              <w14:schemeClr w14:val="tx1"/>
            </w14:solidFill>
          </w14:textFill>
        </w:rPr>
      </w:pPr>
    </w:p>
    <w:p w14:paraId="30F95397">
      <w:pPr>
        <w:keepNext w:val="0"/>
        <w:keepLines w:val="0"/>
        <w:pageBreakBefore w:val="0"/>
        <w:widowControl w:val="0"/>
        <w:kinsoku/>
        <w:overflowPunct/>
        <w:bidi w:val="0"/>
        <w:snapToGrid w:val="0"/>
        <w:spacing w:line="360" w:lineRule="auto"/>
        <w:ind w:firstLine="560"/>
        <w:jc w:val="left"/>
        <w:rPr>
          <w:rFonts w:ascii="Times New Roman" w:hAnsi="Times New Roman"/>
          <w:color w:val="000000" w:themeColor="text1"/>
          <w:kern w:val="0"/>
          <w:sz w:val="28"/>
          <w:highlight w:val="none"/>
          <w14:textFill>
            <w14:solidFill>
              <w14:schemeClr w14:val="tx1"/>
            </w14:solidFill>
          </w14:textFill>
        </w:rPr>
      </w:pPr>
    </w:p>
    <w:p w14:paraId="6A4693D7">
      <w:pPr>
        <w:keepNext w:val="0"/>
        <w:keepLines w:val="0"/>
        <w:pageBreakBefore w:val="0"/>
        <w:widowControl w:val="0"/>
        <w:kinsoku/>
        <w:overflowPunct/>
        <w:bidi w:val="0"/>
        <w:snapToGrid w:val="0"/>
        <w:spacing w:line="360" w:lineRule="auto"/>
        <w:ind w:firstLine="560"/>
        <w:jc w:val="left"/>
        <w:rPr>
          <w:rFonts w:ascii="Times New Roman" w:hAnsi="Times New Roman"/>
          <w:color w:val="000000" w:themeColor="text1"/>
          <w:kern w:val="0"/>
          <w:sz w:val="28"/>
          <w:highlight w:val="none"/>
          <w14:textFill>
            <w14:solidFill>
              <w14:schemeClr w14:val="tx1"/>
            </w14:solidFill>
          </w14:textFill>
        </w:rPr>
      </w:pPr>
    </w:p>
    <w:p w14:paraId="28377A78">
      <w:pPr>
        <w:keepNext w:val="0"/>
        <w:keepLines w:val="0"/>
        <w:pageBreakBefore w:val="0"/>
        <w:widowControl w:val="0"/>
        <w:kinsoku/>
        <w:overflowPunct/>
        <w:bidi w:val="0"/>
        <w:snapToGrid w:val="0"/>
        <w:spacing w:line="360" w:lineRule="auto"/>
        <w:ind w:firstLine="560"/>
        <w:jc w:val="center"/>
        <w:rPr>
          <w:rFonts w:ascii="Times New Roman" w:hAnsi="Times New Roman"/>
          <w:color w:val="000000" w:themeColor="text1"/>
          <w:kern w:val="0"/>
          <w:sz w:val="28"/>
          <w:szCs w:val="28"/>
          <w:highlight w:val="none"/>
          <w:u w:val="single"/>
          <w14:textFill>
            <w14:solidFill>
              <w14:schemeClr w14:val="tx1"/>
            </w14:solidFill>
          </w14:textFill>
        </w:rPr>
      </w:pPr>
      <w:r>
        <w:rPr>
          <w:rFonts w:ascii="Times New Roman" w:hAnsi="Times New Roman"/>
          <w:color w:val="000000" w:themeColor="text1"/>
          <w:kern w:val="0"/>
          <w:sz w:val="28"/>
          <w:szCs w:val="28"/>
          <w:highlight w:val="none"/>
          <w14:textFill>
            <w14:solidFill>
              <w14:schemeClr w14:val="tx1"/>
            </w14:solidFill>
          </w14:textFill>
        </w:rPr>
        <w:t xml:space="preserve">投标人全称： </w:t>
      </w:r>
      <w:r>
        <w:rPr>
          <w:rFonts w:ascii="Times New Roman" w:hAnsi="Times New Roman"/>
          <w:color w:val="000000" w:themeColor="text1"/>
          <w:kern w:val="0"/>
          <w:sz w:val="28"/>
          <w:szCs w:val="28"/>
          <w:highlight w:val="none"/>
          <w:u w:val="single"/>
          <w14:textFill>
            <w14:solidFill>
              <w14:schemeClr w14:val="tx1"/>
            </w14:solidFill>
          </w14:textFill>
        </w:rPr>
        <w:t xml:space="preserve">               </w:t>
      </w:r>
      <w:r>
        <w:rPr>
          <w:rFonts w:ascii="Times New Roman" w:hAnsi="Times New Roman"/>
          <w:color w:val="000000" w:themeColor="text1"/>
          <w:kern w:val="0"/>
          <w:sz w:val="28"/>
          <w:szCs w:val="28"/>
          <w:highlight w:val="none"/>
          <w14:textFill>
            <w14:solidFill>
              <w14:schemeClr w14:val="tx1"/>
            </w14:solidFill>
          </w14:textFill>
        </w:rPr>
        <w:t>（盖章）</w:t>
      </w:r>
    </w:p>
    <w:p w14:paraId="5621D32E">
      <w:pPr>
        <w:keepNext w:val="0"/>
        <w:keepLines w:val="0"/>
        <w:pageBreakBefore w:val="0"/>
        <w:widowControl w:val="0"/>
        <w:kinsoku/>
        <w:overflowPunct/>
        <w:bidi w:val="0"/>
        <w:snapToGrid w:val="0"/>
        <w:spacing w:line="360" w:lineRule="auto"/>
        <w:ind w:firstLine="560"/>
        <w:jc w:val="center"/>
        <w:rPr>
          <w:rFonts w:ascii="Times New Roman" w:hAnsi="Times New Roman"/>
          <w:color w:val="000000" w:themeColor="text1"/>
          <w:kern w:val="0"/>
          <w:sz w:val="28"/>
          <w:szCs w:val="28"/>
          <w:highlight w:val="none"/>
          <w:u w:val="single"/>
          <w14:textFill>
            <w14:solidFill>
              <w14:schemeClr w14:val="tx1"/>
            </w14:solidFill>
          </w14:textFill>
        </w:rPr>
      </w:pPr>
      <w:r>
        <w:rPr>
          <w:rFonts w:ascii="Times New Roman" w:hAnsi="Times New Roman"/>
          <w:color w:val="000000" w:themeColor="text1"/>
          <w:kern w:val="0"/>
          <w:sz w:val="28"/>
          <w:szCs w:val="28"/>
          <w:highlight w:val="none"/>
          <w14:textFill>
            <w14:solidFill>
              <w14:schemeClr w14:val="tx1"/>
            </w14:solidFill>
          </w14:textFill>
        </w:rPr>
        <w:t>法定代表人（负责人）或授权代表：</w:t>
      </w:r>
      <w:r>
        <w:rPr>
          <w:rFonts w:ascii="Times New Roman" w:hAnsi="Times New Roman"/>
          <w:color w:val="000000" w:themeColor="text1"/>
          <w:kern w:val="0"/>
          <w:sz w:val="28"/>
          <w:szCs w:val="28"/>
          <w:highlight w:val="none"/>
          <w:u w:val="single"/>
          <w14:textFill>
            <w14:solidFill>
              <w14:schemeClr w14:val="tx1"/>
            </w14:solidFill>
          </w14:textFill>
        </w:rPr>
        <w:t xml:space="preserve">                </w:t>
      </w:r>
      <w:r>
        <w:rPr>
          <w:rFonts w:ascii="Times New Roman" w:hAnsi="Times New Roman"/>
          <w:color w:val="000000" w:themeColor="text1"/>
          <w:kern w:val="0"/>
          <w:sz w:val="28"/>
          <w:szCs w:val="28"/>
          <w:highlight w:val="none"/>
          <w14:textFill>
            <w14:solidFill>
              <w14:schemeClr w14:val="tx1"/>
            </w14:solidFill>
          </w14:textFill>
        </w:rPr>
        <w:t>（签字或盖章）</w:t>
      </w:r>
    </w:p>
    <w:p w14:paraId="57676C55">
      <w:pPr>
        <w:keepNext w:val="0"/>
        <w:keepLines w:val="0"/>
        <w:pageBreakBefore w:val="0"/>
        <w:widowControl w:val="0"/>
        <w:kinsoku/>
        <w:overflowPunct/>
        <w:bidi w:val="0"/>
        <w:snapToGrid w:val="0"/>
        <w:spacing w:line="360" w:lineRule="auto"/>
        <w:ind w:firstLine="600"/>
        <w:rPr>
          <w:rFonts w:ascii="Times New Roman" w:hAnsi="Times New Roman"/>
          <w:color w:val="000000" w:themeColor="text1"/>
          <w:kern w:val="0"/>
          <w:sz w:val="30"/>
          <w:szCs w:val="30"/>
          <w:highlight w:val="none"/>
          <w:u w:val="single"/>
          <w14:textFill>
            <w14:solidFill>
              <w14:schemeClr w14:val="tx1"/>
            </w14:solidFill>
          </w14:textFill>
        </w:rPr>
      </w:pPr>
    </w:p>
    <w:p w14:paraId="4EFFC2AB">
      <w:pPr>
        <w:pStyle w:val="41"/>
        <w:keepNext w:val="0"/>
        <w:keepLines w:val="0"/>
        <w:pageBreakBefore w:val="0"/>
        <w:widowControl w:val="0"/>
        <w:kinsoku/>
        <w:overflowPunct/>
        <w:bidi w:val="0"/>
        <w:ind w:firstLine="468"/>
        <w:rPr>
          <w:rFonts w:ascii="Times New Roman" w:hAnsi="Times New Roman"/>
          <w:color w:val="000000" w:themeColor="text1"/>
          <w:highlight w:val="none"/>
          <w:lang w:eastAsia="zh-CN"/>
          <w14:textFill>
            <w14:solidFill>
              <w14:schemeClr w14:val="tx1"/>
            </w14:solidFill>
          </w14:textFill>
        </w:rPr>
      </w:pPr>
    </w:p>
    <w:p w14:paraId="7DD7A2C9">
      <w:pPr>
        <w:pStyle w:val="41"/>
        <w:keepNext w:val="0"/>
        <w:keepLines w:val="0"/>
        <w:pageBreakBefore w:val="0"/>
        <w:widowControl w:val="0"/>
        <w:kinsoku/>
        <w:overflowPunct/>
        <w:bidi w:val="0"/>
        <w:ind w:firstLine="468"/>
        <w:rPr>
          <w:rFonts w:ascii="Times New Roman" w:hAnsi="Times New Roman"/>
          <w:color w:val="000000" w:themeColor="text1"/>
          <w:highlight w:val="none"/>
          <w:lang w:eastAsia="zh-CN"/>
          <w14:textFill>
            <w14:solidFill>
              <w14:schemeClr w14:val="tx1"/>
            </w14:solidFill>
          </w14:textFill>
        </w:rPr>
      </w:pPr>
    </w:p>
    <w:p w14:paraId="3213747D">
      <w:pPr>
        <w:pStyle w:val="41"/>
        <w:keepNext w:val="0"/>
        <w:keepLines w:val="0"/>
        <w:pageBreakBefore w:val="0"/>
        <w:widowControl w:val="0"/>
        <w:kinsoku/>
        <w:overflowPunct/>
        <w:bidi w:val="0"/>
        <w:ind w:firstLine="468"/>
        <w:rPr>
          <w:rFonts w:ascii="Times New Roman" w:hAnsi="Times New Roman"/>
          <w:color w:val="000000" w:themeColor="text1"/>
          <w:highlight w:val="none"/>
          <w:lang w:eastAsia="zh-CN"/>
          <w14:textFill>
            <w14:solidFill>
              <w14:schemeClr w14:val="tx1"/>
            </w14:solidFill>
          </w14:textFill>
        </w:rPr>
      </w:pPr>
    </w:p>
    <w:p w14:paraId="13A5E249">
      <w:pPr>
        <w:keepNext w:val="0"/>
        <w:keepLines w:val="0"/>
        <w:pageBreakBefore w:val="0"/>
        <w:widowControl w:val="0"/>
        <w:kinsoku/>
        <w:overflowPunct/>
        <w:bidi w:val="0"/>
        <w:snapToGrid w:val="0"/>
        <w:spacing w:line="360" w:lineRule="auto"/>
        <w:ind w:firstLine="600"/>
        <w:jc w:val="center"/>
        <w:rPr>
          <w:rFonts w:ascii="Times New Roman" w:hAnsi="Times New Roman"/>
          <w:color w:val="000000" w:themeColor="text1"/>
          <w:kern w:val="0"/>
          <w:sz w:val="30"/>
          <w:szCs w:val="30"/>
          <w:highlight w:val="none"/>
          <w14:textFill>
            <w14:solidFill>
              <w14:schemeClr w14:val="tx1"/>
            </w14:solidFill>
          </w14:textFill>
        </w:rPr>
      </w:pPr>
    </w:p>
    <w:p w14:paraId="50D43394">
      <w:pPr>
        <w:keepNext w:val="0"/>
        <w:keepLines w:val="0"/>
        <w:pageBreakBefore w:val="0"/>
        <w:widowControl w:val="0"/>
        <w:kinsoku/>
        <w:overflowPunct/>
        <w:bidi w:val="0"/>
        <w:snapToGrid w:val="0"/>
        <w:spacing w:line="360" w:lineRule="auto"/>
        <w:ind w:firstLine="600"/>
        <w:jc w:val="center"/>
        <w:rPr>
          <w:rFonts w:ascii="Times New Roman" w:hAnsi="Times New Roman"/>
          <w:color w:val="000000" w:themeColor="text1"/>
          <w:kern w:val="0"/>
          <w:sz w:val="30"/>
          <w:szCs w:val="30"/>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二〇二</w:t>
      </w:r>
      <w:r>
        <w:rPr>
          <w:rFonts w:hint="eastAsia" w:ascii="Times New Roman" w:hAnsi="Times New Roman"/>
          <w:color w:val="000000" w:themeColor="text1"/>
          <w:kern w:val="0"/>
          <w:sz w:val="30"/>
          <w:szCs w:val="30"/>
          <w:highlight w:val="none"/>
          <w:lang w:val="en-US" w:eastAsia="zh-CN"/>
          <w14:textFill>
            <w14:solidFill>
              <w14:schemeClr w14:val="tx1"/>
            </w14:solidFill>
          </w14:textFill>
        </w:rPr>
        <w:t>五</w:t>
      </w:r>
      <w:r>
        <w:rPr>
          <w:rFonts w:ascii="Times New Roman" w:hAnsi="Times New Roman"/>
          <w:color w:val="000000" w:themeColor="text1"/>
          <w:kern w:val="0"/>
          <w:sz w:val="30"/>
          <w:szCs w:val="30"/>
          <w:highlight w:val="none"/>
          <w14:textFill>
            <w14:solidFill>
              <w14:schemeClr w14:val="tx1"/>
            </w14:solidFill>
          </w14:textFill>
        </w:rPr>
        <w:t>年   月   日</w:t>
      </w:r>
    </w:p>
    <w:p w14:paraId="28CCD0BE">
      <w:pPr>
        <w:keepNext w:val="0"/>
        <w:keepLines w:val="0"/>
        <w:pageBreakBefore w:val="0"/>
        <w:widowControl w:val="0"/>
        <w:kinsoku/>
        <w:overflowPunct/>
        <w:bidi w:val="0"/>
        <w:jc w:val="left"/>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br w:type="page"/>
      </w:r>
    </w:p>
    <w:p w14:paraId="151D325B">
      <w:pPr>
        <w:keepNext w:val="0"/>
        <w:keepLines w:val="0"/>
        <w:pageBreakBefore w:val="0"/>
        <w:widowControl w:val="0"/>
        <w:kinsoku/>
        <w:overflowPunct/>
        <w:bidi w:val="0"/>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目录格式</w:t>
      </w:r>
    </w:p>
    <w:p w14:paraId="11E0987A">
      <w:pPr>
        <w:keepNext w:val="0"/>
        <w:keepLines w:val="0"/>
        <w:pageBreakBefore w:val="0"/>
        <w:widowControl w:val="0"/>
        <w:kinsoku/>
        <w:overflowPunct/>
        <w:bidi w:val="0"/>
        <w:spacing w:line="360" w:lineRule="auto"/>
        <w:ind w:firstLine="482"/>
        <w:jc w:val="center"/>
        <w:rPr>
          <w:rFonts w:ascii="Times New Roman" w:hAnsi="Times New Roman"/>
          <w:b/>
          <w:bCs/>
          <w:color w:val="000000" w:themeColor="text1"/>
          <w:sz w:val="24"/>
          <w:highlight w:val="none"/>
          <w14:textFill>
            <w14:solidFill>
              <w14:schemeClr w14:val="tx1"/>
            </w14:solidFill>
          </w14:textFill>
        </w:rPr>
      </w:pPr>
    </w:p>
    <w:p w14:paraId="3730448B">
      <w:pPr>
        <w:keepNext w:val="0"/>
        <w:keepLines w:val="0"/>
        <w:pageBreakBefore w:val="0"/>
        <w:widowControl w:val="0"/>
        <w:kinsoku/>
        <w:overflowPunct/>
        <w:bidi w:val="0"/>
        <w:spacing w:line="360" w:lineRule="auto"/>
        <w:ind w:firstLine="643"/>
        <w:jc w:val="center"/>
        <w:rPr>
          <w:rFonts w:ascii="Times New Roman" w:hAnsi="Times New Roman"/>
          <w:b/>
          <w:bCs/>
          <w:color w:val="000000" w:themeColor="text1"/>
          <w:sz w:val="32"/>
          <w:szCs w:val="32"/>
          <w:highlight w:val="none"/>
          <w14:textFill>
            <w14:solidFill>
              <w14:schemeClr w14:val="tx1"/>
            </w14:solidFill>
          </w14:textFill>
        </w:rPr>
      </w:pPr>
      <w:r>
        <w:rPr>
          <w:rFonts w:ascii="Times New Roman" w:hAnsi="Times New Roman"/>
          <w:b/>
          <w:bCs/>
          <w:color w:val="000000" w:themeColor="text1"/>
          <w:sz w:val="32"/>
          <w:szCs w:val="32"/>
          <w:highlight w:val="none"/>
          <w14:textFill>
            <w14:solidFill>
              <w14:schemeClr w14:val="tx1"/>
            </w14:solidFill>
          </w14:textFill>
        </w:rPr>
        <w:t>目     录</w:t>
      </w:r>
    </w:p>
    <w:p w14:paraId="168C655D">
      <w:pPr>
        <w:keepNext w:val="0"/>
        <w:keepLines w:val="0"/>
        <w:pageBreakBefore w:val="0"/>
        <w:widowControl w:val="0"/>
        <w:kinsoku/>
        <w:overflowPunct/>
        <w:bidi w:val="0"/>
        <w:spacing w:before="120" w:beforeLines="50" w:after="120" w:afterLines="50" w:line="360" w:lineRule="auto"/>
        <w:ind w:firstLine="482"/>
        <w:jc w:val="center"/>
        <w:rPr>
          <w:rFonts w:ascii="Times New Roman" w:hAnsi="Times New Roman"/>
          <w:b/>
          <w:bCs/>
          <w:color w:val="000000" w:themeColor="text1"/>
          <w:sz w:val="24"/>
          <w:highlight w:val="none"/>
          <w14:textFill>
            <w14:solidFill>
              <w14:schemeClr w14:val="tx1"/>
            </w14:solidFill>
          </w14:textFill>
        </w:rPr>
      </w:pPr>
      <w:r>
        <w:rPr>
          <w:rFonts w:ascii="Times New Roman" w:hAnsi="Times New Roman"/>
          <w:b/>
          <w:bCs/>
          <w:color w:val="000000" w:themeColor="text1"/>
          <w:sz w:val="24"/>
          <w:highlight w:val="none"/>
          <w14:textFill>
            <w14:solidFill>
              <w14:schemeClr w14:val="tx1"/>
            </w14:solidFill>
          </w14:textFill>
        </w:rPr>
        <w:t>资格证明文件部分</w:t>
      </w:r>
    </w:p>
    <w:p w14:paraId="663A55A6">
      <w:pPr>
        <w:pStyle w:val="18"/>
        <w:keepNext w:val="0"/>
        <w:keepLines w:val="0"/>
        <w:pageBreakBefore w:val="0"/>
        <w:widowControl w:val="0"/>
        <w:kinsoku/>
        <w:overflowPunct/>
        <w:bidi w:val="0"/>
        <w:ind w:firstLine="420"/>
        <w:rPr>
          <w:rFonts w:ascii="Times New Roman" w:hAnsi="Times New Roman" w:cs="Times New Roman"/>
          <w:color w:val="000000" w:themeColor="text1"/>
          <w:highlight w:val="none"/>
          <w14:textFill>
            <w14:solidFill>
              <w14:schemeClr w14:val="tx1"/>
            </w14:solidFill>
          </w14:textFill>
        </w:rPr>
      </w:pPr>
    </w:p>
    <w:p w14:paraId="44622E4B">
      <w:pPr>
        <w:pStyle w:val="13"/>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sz w:val="24"/>
          <w:szCs w:val="22"/>
          <w:highlight w:val="none"/>
        </w:rPr>
      </w:pPr>
      <w:r>
        <w:rPr>
          <w:rFonts w:ascii="Times New Roman" w:hAnsi="Times New Roman"/>
          <w:sz w:val="24"/>
          <w:szCs w:val="22"/>
          <w:highlight w:val="none"/>
        </w:rPr>
        <w:t>1</w:t>
      </w:r>
      <w:r>
        <w:rPr>
          <w:rFonts w:hint="eastAsia" w:ascii="Times New Roman" w:hAnsi="Times New Roman"/>
          <w:sz w:val="24"/>
          <w:szCs w:val="22"/>
          <w:highlight w:val="none"/>
        </w:rPr>
        <w:t>.</w:t>
      </w:r>
      <w:r>
        <w:rPr>
          <w:rFonts w:ascii="Times New Roman" w:hAnsi="Times New Roman"/>
          <w:sz w:val="24"/>
          <w:szCs w:val="22"/>
          <w:highlight w:val="none"/>
        </w:rPr>
        <w:t>具有独立承担民事责任的能力的</w:t>
      </w:r>
      <w:r>
        <w:rPr>
          <w:rFonts w:hint="eastAsia" w:ascii="Times New Roman" w:hAnsi="Times New Roman"/>
          <w:sz w:val="24"/>
          <w:szCs w:val="22"/>
          <w:highlight w:val="none"/>
        </w:rPr>
        <w:t>信用承诺书</w:t>
      </w:r>
      <w:r>
        <w:rPr>
          <w:rFonts w:ascii="Times New Roman" w:hAnsi="Times New Roman"/>
          <w:kern w:val="0"/>
          <w:sz w:val="24"/>
          <w:szCs w:val="22"/>
          <w:highlight w:val="none"/>
        </w:rPr>
        <w:t>……………………………………</w:t>
      </w:r>
    </w:p>
    <w:p w14:paraId="5AF01AE5">
      <w:pPr>
        <w:pStyle w:val="13"/>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sz w:val="24"/>
          <w:szCs w:val="22"/>
          <w:highlight w:val="none"/>
        </w:rPr>
      </w:pPr>
      <w:r>
        <w:rPr>
          <w:rFonts w:ascii="Times New Roman" w:hAnsi="Times New Roman"/>
          <w:sz w:val="24"/>
          <w:szCs w:val="22"/>
          <w:highlight w:val="none"/>
        </w:rPr>
        <w:t>2.具有良好的商业信誉和健全的财务会计制度的</w:t>
      </w:r>
      <w:r>
        <w:rPr>
          <w:rFonts w:hint="eastAsia" w:ascii="Times New Roman" w:hAnsi="Times New Roman"/>
          <w:sz w:val="24"/>
          <w:szCs w:val="22"/>
          <w:highlight w:val="none"/>
        </w:rPr>
        <w:t>信用承诺书</w:t>
      </w:r>
      <w:r>
        <w:rPr>
          <w:rFonts w:ascii="Times New Roman" w:hAnsi="Times New Roman"/>
          <w:kern w:val="0"/>
          <w:sz w:val="24"/>
          <w:szCs w:val="22"/>
          <w:highlight w:val="none"/>
        </w:rPr>
        <w:t>……………………</w:t>
      </w:r>
    </w:p>
    <w:p w14:paraId="66034961">
      <w:pPr>
        <w:pStyle w:val="13"/>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sz w:val="24"/>
          <w:szCs w:val="22"/>
          <w:highlight w:val="none"/>
        </w:rPr>
      </w:pPr>
      <w:r>
        <w:rPr>
          <w:rFonts w:ascii="Times New Roman" w:hAnsi="Times New Roman"/>
          <w:sz w:val="24"/>
          <w:szCs w:val="22"/>
          <w:highlight w:val="none"/>
        </w:rPr>
        <w:t>3.具有履行合同所必需的设备和专业技术能力的</w:t>
      </w:r>
      <w:r>
        <w:rPr>
          <w:rFonts w:hint="eastAsia" w:ascii="Times New Roman" w:hAnsi="Times New Roman"/>
          <w:sz w:val="24"/>
          <w:szCs w:val="22"/>
          <w:highlight w:val="none"/>
        </w:rPr>
        <w:t>信用承诺书</w:t>
      </w:r>
      <w:r>
        <w:rPr>
          <w:rFonts w:ascii="Times New Roman" w:hAnsi="Times New Roman"/>
          <w:kern w:val="0"/>
          <w:sz w:val="24"/>
          <w:szCs w:val="22"/>
          <w:highlight w:val="none"/>
        </w:rPr>
        <w:t>……………………</w:t>
      </w:r>
    </w:p>
    <w:p w14:paraId="25E21633">
      <w:pPr>
        <w:pStyle w:val="13"/>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sz w:val="24"/>
          <w:szCs w:val="22"/>
          <w:highlight w:val="none"/>
        </w:rPr>
      </w:pPr>
      <w:r>
        <w:rPr>
          <w:rFonts w:ascii="Times New Roman" w:hAnsi="Times New Roman"/>
          <w:sz w:val="24"/>
          <w:szCs w:val="22"/>
          <w:highlight w:val="none"/>
        </w:rPr>
        <w:t>4.有依法缴纳税收和社会保障资金的良好记录的</w:t>
      </w:r>
      <w:r>
        <w:rPr>
          <w:rFonts w:hint="eastAsia" w:ascii="Times New Roman" w:hAnsi="Times New Roman"/>
          <w:sz w:val="24"/>
          <w:szCs w:val="22"/>
          <w:highlight w:val="none"/>
        </w:rPr>
        <w:t>信用承诺书</w:t>
      </w:r>
      <w:r>
        <w:rPr>
          <w:rFonts w:ascii="Times New Roman" w:hAnsi="Times New Roman"/>
          <w:kern w:val="0"/>
          <w:sz w:val="24"/>
          <w:szCs w:val="22"/>
          <w:highlight w:val="none"/>
        </w:rPr>
        <w:t>……………………</w:t>
      </w:r>
    </w:p>
    <w:p w14:paraId="70A29F82">
      <w:pPr>
        <w:pStyle w:val="13"/>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sz w:val="24"/>
          <w:szCs w:val="22"/>
          <w:highlight w:val="none"/>
        </w:rPr>
      </w:pPr>
      <w:r>
        <w:rPr>
          <w:rFonts w:ascii="Times New Roman" w:hAnsi="Times New Roman"/>
          <w:sz w:val="24"/>
          <w:szCs w:val="22"/>
          <w:highlight w:val="none"/>
        </w:rPr>
        <w:t>5.参加</w:t>
      </w:r>
      <w:r>
        <w:rPr>
          <w:rFonts w:hint="eastAsia" w:ascii="Times New Roman" w:hAnsi="Times New Roman"/>
          <w:sz w:val="24"/>
          <w:szCs w:val="22"/>
          <w:highlight w:val="none"/>
        </w:rPr>
        <w:t>政府</w:t>
      </w:r>
      <w:r>
        <w:rPr>
          <w:rFonts w:ascii="Times New Roman" w:hAnsi="Times New Roman"/>
          <w:sz w:val="24"/>
          <w:szCs w:val="22"/>
          <w:highlight w:val="none"/>
        </w:rPr>
        <w:t>采购活动前三年内，在经营活动中没有重大违法记录的</w:t>
      </w:r>
      <w:r>
        <w:rPr>
          <w:rFonts w:hint="eastAsia" w:ascii="Times New Roman" w:hAnsi="Times New Roman"/>
          <w:sz w:val="24"/>
          <w:szCs w:val="22"/>
          <w:highlight w:val="none"/>
        </w:rPr>
        <w:t>信用承诺书</w:t>
      </w:r>
      <w:r>
        <w:rPr>
          <w:rFonts w:ascii="Times New Roman" w:hAnsi="Times New Roman"/>
          <w:kern w:val="0"/>
          <w:sz w:val="24"/>
          <w:szCs w:val="22"/>
          <w:highlight w:val="none"/>
        </w:rPr>
        <w:t>…</w:t>
      </w:r>
    </w:p>
    <w:p w14:paraId="2C15C740">
      <w:pPr>
        <w:pStyle w:val="13"/>
        <w:keepNext w:val="0"/>
        <w:keepLines w:val="0"/>
        <w:pageBreakBefore w:val="0"/>
        <w:widowControl w:val="0"/>
        <w:kinsoku/>
        <w:overflowPunct/>
        <w:topLinePunct/>
        <w:bidi w:val="0"/>
        <w:adjustRightInd w:val="0"/>
        <w:snapToGrid w:val="0"/>
        <w:spacing w:line="360" w:lineRule="auto"/>
        <w:ind w:firstLine="480"/>
        <w:jc w:val="left"/>
        <w:rPr>
          <w:rFonts w:ascii="Times New Roman" w:hAnsi="Times New Roman"/>
          <w:sz w:val="24"/>
          <w:szCs w:val="22"/>
          <w:highlight w:val="none"/>
        </w:rPr>
      </w:pPr>
      <w:r>
        <w:rPr>
          <w:rFonts w:ascii="Times New Roman" w:hAnsi="Times New Roman"/>
          <w:sz w:val="24"/>
          <w:szCs w:val="22"/>
          <w:highlight w:val="none"/>
        </w:rPr>
        <w:t>6.</w:t>
      </w:r>
      <w:r>
        <w:rPr>
          <w:rFonts w:hint="eastAsia" w:ascii="Times New Roman" w:hAnsi="Times New Roman"/>
          <w:sz w:val="24"/>
          <w:szCs w:val="22"/>
          <w:highlight w:val="none"/>
        </w:rPr>
        <w:t>不存在</w:t>
      </w:r>
      <w:r>
        <w:rPr>
          <w:rFonts w:ascii="Times New Roman" w:hAnsi="Times New Roman"/>
          <w:sz w:val="24"/>
          <w:szCs w:val="22"/>
          <w:highlight w:val="none"/>
        </w:rPr>
        <w:t>单位负责人为同一人或者存在直接控股、管理关系的不同</w:t>
      </w:r>
      <w:r>
        <w:rPr>
          <w:rFonts w:hint="eastAsia" w:ascii="Times New Roman" w:hAnsi="Times New Roman"/>
          <w:sz w:val="24"/>
          <w:szCs w:val="22"/>
          <w:highlight w:val="none"/>
        </w:rPr>
        <w:t>投标人</w:t>
      </w:r>
      <w:r>
        <w:rPr>
          <w:rFonts w:ascii="Times New Roman" w:hAnsi="Times New Roman"/>
          <w:sz w:val="24"/>
          <w:szCs w:val="22"/>
          <w:highlight w:val="none"/>
        </w:rPr>
        <w:t>参加同一合同项下的</w:t>
      </w:r>
      <w:r>
        <w:rPr>
          <w:rFonts w:hint="eastAsia" w:ascii="Times New Roman" w:hAnsi="Times New Roman"/>
          <w:sz w:val="24"/>
          <w:szCs w:val="22"/>
          <w:highlight w:val="none"/>
        </w:rPr>
        <w:t>政府</w:t>
      </w:r>
      <w:r>
        <w:rPr>
          <w:rFonts w:ascii="Times New Roman" w:hAnsi="Times New Roman"/>
          <w:sz w:val="24"/>
          <w:szCs w:val="22"/>
          <w:highlight w:val="none"/>
        </w:rPr>
        <w:t>采购活动的</w:t>
      </w:r>
      <w:r>
        <w:rPr>
          <w:rFonts w:hint="eastAsia" w:ascii="Times New Roman" w:hAnsi="Times New Roman"/>
          <w:sz w:val="24"/>
          <w:szCs w:val="22"/>
          <w:highlight w:val="none"/>
        </w:rPr>
        <w:t>信用承诺书</w:t>
      </w:r>
      <w:r>
        <w:rPr>
          <w:rFonts w:ascii="Times New Roman" w:hAnsi="Times New Roman"/>
          <w:sz w:val="24"/>
          <w:szCs w:val="22"/>
          <w:highlight w:val="none"/>
        </w:rPr>
        <w:t>……………………………………………………</w:t>
      </w:r>
    </w:p>
    <w:p w14:paraId="583F92E8">
      <w:pPr>
        <w:pStyle w:val="5"/>
        <w:keepNext w:val="0"/>
        <w:keepLines w:val="0"/>
        <w:pageBreakBefore w:val="0"/>
        <w:widowControl w:val="0"/>
        <w:kinsoku/>
        <w:overflowPunct/>
        <w:bidi w:val="0"/>
        <w:rPr>
          <w:highlight w:val="none"/>
        </w:rPr>
      </w:pPr>
      <w:r>
        <w:rPr>
          <w:highlight w:val="none"/>
        </w:rPr>
        <w:br w:type="page"/>
      </w:r>
    </w:p>
    <w:p w14:paraId="64B8405F">
      <w:pPr>
        <w:keepNext w:val="0"/>
        <w:keepLines w:val="0"/>
        <w:pageBreakBefore w:val="0"/>
        <w:widowControl w:val="0"/>
        <w:tabs>
          <w:tab w:val="left" w:pos="2070"/>
          <w:tab w:val="center" w:pos="4365"/>
        </w:tabs>
        <w:kinsoku/>
        <w:overflowPunct/>
        <w:bidi w:val="0"/>
        <w:snapToGrid w:val="0"/>
        <w:spacing w:line="360" w:lineRule="auto"/>
        <w:ind w:firstLine="643"/>
        <w:jc w:val="center"/>
        <w:outlineLvl w:val="0"/>
        <w:rPr>
          <w:rFonts w:ascii="Times New Roman" w:hAnsi="Times New Roman"/>
          <w:b/>
          <w:color w:val="000000" w:themeColor="text1"/>
          <w:kern w:val="0"/>
          <w:sz w:val="32"/>
          <w:szCs w:val="32"/>
          <w:highlight w:val="none"/>
          <w14:textFill>
            <w14:solidFill>
              <w14:schemeClr w14:val="tx1"/>
            </w14:solidFill>
          </w14:textFill>
        </w:rPr>
      </w:pPr>
      <w:bookmarkStart w:id="72" w:name="_Toc180347475"/>
      <w:r>
        <w:rPr>
          <w:rFonts w:ascii="Times New Roman" w:hAnsi="Times New Roman"/>
          <w:b/>
          <w:color w:val="000000" w:themeColor="text1"/>
          <w:kern w:val="0"/>
          <w:sz w:val="32"/>
          <w:szCs w:val="32"/>
          <w:highlight w:val="none"/>
          <w14:textFill>
            <w14:solidFill>
              <w14:schemeClr w14:val="tx1"/>
            </w14:solidFill>
          </w14:textFill>
        </w:rPr>
        <w:t>资格证明文件</w:t>
      </w:r>
      <w:bookmarkEnd w:id="72"/>
    </w:p>
    <w:p w14:paraId="45D04B08">
      <w:pPr>
        <w:keepNext w:val="0"/>
        <w:keepLines w:val="0"/>
        <w:pageBreakBefore w:val="0"/>
        <w:widowControl w:val="0"/>
        <w:kinsoku/>
        <w:overflowPunct/>
        <w:topLinePunct/>
        <w:bidi w:val="0"/>
        <w:adjustRightInd w:val="0"/>
        <w:snapToGrid w:val="0"/>
        <w:spacing w:line="360" w:lineRule="auto"/>
        <w:outlineLvl w:val="1"/>
        <w:rPr>
          <w:rFonts w:ascii="宋体" w:hAnsi="宋体"/>
          <w:b/>
          <w:sz w:val="24"/>
          <w:highlight w:val="none"/>
        </w:rPr>
      </w:pPr>
      <w:bookmarkStart w:id="73" w:name="_Toc180347476"/>
      <w:r>
        <w:rPr>
          <w:rFonts w:ascii="宋体" w:hAnsi="宋体"/>
          <w:b/>
          <w:kern w:val="0"/>
          <w:sz w:val="24"/>
          <w:highlight w:val="none"/>
        </w:rPr>
        <w:t>1．具有</w:t>
      </w:r>
      <w:r>
        <w:rPr>
          <w:rFonts w:ascii="宋体" w:hAnsi="宋体"/>
          <w:b/>
          <w:sz w:val="24"/>
          <w:highlight w:val="none"/>
        </w:rPr>
        <w:t>独立承担民事责任的能力的</w:t>
      </w:r>
      <w:r>
        <w:rPr>
          <w:rFonts w:hint="eastAsia" w:ascii="宋体" w:hAnsi="宋体"/>
          <w:b/>
          <w:sz w:val="24"/>
          <w:highlight w:val="none"/>
        </w:rPr>
        <w:t>信用承诺书</w:t>
      </w:r>
      <w:bookmarkEnd w:id="73"/>
    </w:p>
    <w:p w14:paraId="3D8EFC96">
      <w:pPr>
        <w:keepNext w:val="0"/>
        <w:keepLines w:val="0"/>
        <w:pageBreakBefore w:val="0"/>
        <w:widowControl w:val="0"/>
        <w:kinsoku/>
        <w:overflowPunct/>
        <w:topLinePunct/>
        <w:bidi w:val="0"/>
        <w:adjustRightInd w:val="0"/>
        <w:snapToGrid w:val="0"/>
        <w:spacing w:line="360" w:lineRule="auto"/>
        <w:ind w:firstLine="482"/>
        <w:jc w:val="center"/>
        <w:rPr>
          <w:sz w:val="24"/>
          <w:highlight w:val="none"/>
          <w:u w:val="single"/>
        </w:rPr>
      </w:pPr>
      <w:r>
        <w:rPr>
          <w:rFonts w:hint="eastAsia"/>
          <w:b/>
          <w:kern w:val="0"/>
          <w:sz w:val="24"/>
          <w:highlight w:val="none"/>
          <w:lang w:val="en-US" w:eastAsia="zh-CN"/>
        </w:rPr>
        <w:t>供应商</w:t>
      </w:r>
      <w:r>
        <w:rPr>
          <w:rFonts w:hint="eastAsia"/>
          <w:b/>
          <w:sz w:val="24"/>
          <w:highlight w:val="none"/>
        </w:rPr>
        <w:t>信用承诺书</w:t>
      </w:r>
    </w:p>
    <w:p w14:paraId="284578C2">
      <w:pPr>
        <w:keepNext w:val="0"/>
        <w:keepLines w:val="0"/>
        <w:pageBreakBefore w:val="0"/>
        <w:widowControl w:val="0"/>
        <w:kinsoku/>
        <w:overflowPunct/>
        <w:topLinePunct/>
        <w:bidi w:val="0"/>
        <w:ind w:firstLine="480"/>
        <w:rPr>
          <w:sz w:val="24"/>
          <w:highlight w:val="none"/>
          <w:u w:val="single"/>
        </w:rPr>
      </w:pPr>
    </w:p>
    <w:p w14:paraId="51142CB0">
      <w:pPr>
        <w:keepNext w:val="0"/>
        <w:keepLines w:val="0"/>
        <w:pageBreakBefore w:val="0"/>
        <w:widowControl w:val="0"/>
        <w:kinsoku/>
        <w:overflowPunct/>
        <w:topLinePunct/>
        <w:bidi w:val="0"/>
        <w:adjustRightInd w:val="0"/>
        <w:snapToGrid w:val="0"/>
        <w:spacing w:line="360" w:lineRule="auto"/>
        <w:rPr>
          <w:sz w:val="24"/>
          <w:highlight w:val="none"/>
        </w:rPr>
      </w:pPr>
      <w:r>
        <w:rPr>
          <w:sz w:val="24"/>
          <w:highlight w:val="none"/>
          <w:u w:val="single"/>
        </w:rPr>
        <w:t xml:space="preserve">  </w:t>
      </w:r>
      <w:r>
        <w:rPr>
          <w:rFonts w:hint="eastAsia"/>
          <w:sz w:val="24"/>
          <w:highlight w:val="none"/>
          <w:u w:val="single"/>
          <w:lang w:val="en-US" w:eastAsia="zh-CN"/>
        </w:rPr>
        <w:t xml:space="preserve">   （</w:t>
      </w:r>
      <w:r>
        <w:rPr>
          <w:sz w:val="24"/>
          <w:highlight w:val="none"/>
          <w:u w:val="single"/>
        </w:rPr>
        <w:t>采购代理机构名称</w:t>
      </w:r>
      <w:r>
        <w:rPr>
          <w:rFonts w:hint="eastAsia"/>
          <w:sz w:val="24"/>
          <w:highlight w:val="none"/>
          <w:u w:val="single"/>
          <w:lang w:val="en-US" w:eastAsia="zh-CN"/>
        </w:rPr>
        <w:t>）</w:t>
      </w:r>
      <w:r>
        <w:rPr>
          <w:sz w:val="24"/>
          <w:highlight w:val="none"/>
          <w:u w:val="single"/>
        </w:rPr>
        <w:t xml:space="preserve">  ：</w:t>
      </w:r>
    </w:p>
    <w:p w14:paraId="31C5CF78">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rFonts w:hint="eastAsia"/>
          <w:sz w:val="24"/>
          <w:highlight w:val="none"/>
        </w:rPr>
        <w:t>我单位</w:t>
      </w:r>
      <w:r>
        <w:rPr>
          <w:sz w:val="24"/>
          <w:highlight w:val="none"/>
        </w:rPr>
        <w:t>现参与贵公司组织的</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项目（项目编号：</w:t>
      </w:r>
      <w:r>
        <w:rPr>
          <w:sz w:val="24"/>
          <w:highlight w:val="none"/>
          <w:u w:val="single"/>
        </w:rPr>
        <w:t xml:space="preserve">   </w:t>
      </w:r>
      <w:r>
        <w:rPr>
          <w:kern w:val="0"/>
          <w:sz w:val="24"/>
          <w:highlight w:val="none"/>
          <w:u w:val="single"/>
        </w:rPr>
        <w:t xml:space="preserve">  </w:t>
      </w:r>
      <w:r>
        <w:rPr>
          <w:rFonts w:hint="eastAsia"/>
          <w:kern w:val="0"/>
          <w:sz w:val="24"/>
          <w:highlight w:val="none"/>
          <w:u w:val="single"/>
        </w:rPr>
        <w:t xml:space="preserve">   </w:t>
      </w:r>
      <w:r>
        <w:rPr>
          <w:kern w:val="0"/>
          <w:sz w:val="24"/>
          <w:highlight w:val="none"/>
          <w:u w:val="single"/>
        </w:rPr>
        <w:t xml:space="preserve"> </w:t>
      </w:r>
      <w:r>
        <w:rPr>
          <w:sz w:val="24"/>
          <w:highlight w:val="none"/>
        </w:rPr>
        <w:t>）的采购活动。依据</w:t>
      </w:r>
      <w:r>
        <w:rPr>
          <w:rFonts w:hint="eastAsia"/>
          <w:sz w:val="24"/>
          <w:highlight w:val="none"/>
        </w:rPr>
        <w:t>招标文件</w:t>
      </w:r>
      <w:r>
        <w:rPr>
          <w:sz w:val="24"/>
          <w:highlight w:val="none"/>
        </w:rPr>
        <w:t>相关规定，现郑重承诺：</w:t>
      </w:r>
    </w:p>
    <w:p w14:paraId="0FC12873">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我方</w:t>
      </w:r>
      <w:r>
        <w:rPr>
          <w:rFonts w:hint="eastAsia"/>
          <w:sz w:val="24"/>
          <w:highlight w:val="none"/>
        </w:rPr>
        <w:t>具备《中华人民共和国政府采购法》第二十二条规定的投标人参加政府采购活动应“具有独立承担民事责任能力”的资格条件，且具有《中华人民共和国政府采购法实施条例》第十七条规定参加政府采购活动需提供的“法人或其他组织的营业执照等证明文件或自然人的身份证明”</w:t>
      </w:r>
      <w:r>
        <w:rPr>
          <w:sz w:val="24"/>
          <w:highlight w:val="none"/>
        </w:rPr>
        <w:t>。</w:t>
      </w:r>
    </w:p>
    <w:p w14:paraId="07BC54FB">
      <w:pPr>
        <w:keepNext w:val="0"/>
        <w:keepLines w:val="0"/>
        <w:pageBreakBefore w:val="0"/>
        <w:widowControl w:val="0"/>
        <w:kinsoku/>
        <w:overflowPunct/>
        <w:topLinePunct/>
        <w:bidi w:val="0"/>
        <w:adjustRightInd w:val="0"/>
        <w:snapToGrid w:val="0"/>
        <w:spacing w:line="360" w:lineRule="auto"/>
        <w:ind w:firstLine="482" w:firstLineChars="200"/>
        <w:rPr>
          <w:b/>
          <w:bCs/>
          <w:sz w:val="24"/>
          <w:highlight w:val="none"/>
        </w:rPr>
      </w:pPr>
      <w:r>
        <w:rPr>
          <w:b/>
          <w:bCs/>
          <w:sz w:val="24"/>
          <w:highlight w:val="none"/>
        </w:rPr>
        <w:t>基本信息如下：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3576"/>
        <w:gridCol w:w="1248"/>
        <w:gridCol w:w="1601"/>
      </w:tblGrid>
      <w:tr w14:paraId="452B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6921B3B">
            <w:pPr>
              <w:keepNext w:val="0"/>
              <w:keepLines w:val="0"/>
              <w:pageBreakBefore w:val="0"/>
              <w:widowControl w:val="0"/>
              <w:kinsoku/>
              <w:overflowPunct/>
              <w:topLinePunct/>
              <w:bidi w:val="0"/>
              <w:adjustRightInd w:val="0"/>
              <w:snapToGrid w:val="0"/>
              <w:jc w:val="center"/>
              <w:rPr>
                <w:rFonts w:ascii="宋体" w:hAnsi="宋体"/>
                <w:sz w:val="24"/>
                <w:highlight w:val="none"/>
              </w:rPr>
            </w:pPr>
            <w:r>
              <w:rPr>
                <w:rFonts w:hint="eastAsia" w:ascii="宋体" w:hAnsi="宋体"/>
                <w:sz w:val="24"/>
                <w:highlight w:val="none"/>
              </w:rPr>
              <w:t>单位</w:t>
            </w:r>
            <w:r>
              <w:rPr>
                <w:rFonts w:ascii="宋体" w:hAnsi="宋体"/>
                <w:sz w:val="24"/>
                <w:highlight w:val="none"/>
              </w:rPr>
              <w:t>名称</w:t>
            </w:r>
          </w:p>
        </w:tc>
        <w:tc>
          <w:tcPr>
            <w:tcW w:w="6425" w:type="dxa"/>
            <w:gridSpan w:val="3"/>
            <w:vAlign w:val="center"/>
          </w:tcPr>
          <w:p w14:paraId="7DDE7F22">
            <w:pPr>
              <w:keepNext w:val="0"/>
              <w:keepLines w:val="0"/>
              <w:pageBreakBefore w:val="0"/>
              <w:widowControl w:val="0"/>
              <w:kinsoku/>
              <w:overflowPunct/>
              <w:topLinePunct/>
              <w:bidi w:val="0"/>
              <w:adjustRightInd w:val="0"/>
              <w:snapToGrid w:val="0"/>
              <w:rPr>
                <w:rFonts w:ascii="宋体" w:hAnsi="宋体"/>
                <w:sz w:val="24"/>
                <w:highlight w:val="none"/>
              </w:rPr>
            </w:pPr>
          </w:p>
        </w:tc>
      </w:tr>
      <w:tr w14:paraId="7438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B8AC3FE">
            <w:pPr>
              <w:keepNext w:val="0"/>
              <w:keepLines w:val="0"/>
              <w:pageBreakBefore w:val="0"/>
              <w:widowControl w:val="0"/>
              <w:kinsoku/>
              <w:overflowPunct/>
              <w:topLinePunct/>
              <w:bidi w:val="0"/>
              <w:adjustRightInd w:val="0"/>
              <w:snapToGrid w:val="0"/>
              <w:jc w:val="center"/>
              <w:rPr>
                <w:rFonts w:ascii="宋体" w:hAnsi="宋体"/>
                <w:sz w:val="24"/>
                <w:highlight w:val="none"/>
              </w:rPr>
            </w:pPr>
            <w:r>
              <w:rPr>
                <w:rFonts w:hint="eastAsia" w:ascii="宋体" w:hAnsi="宋体"/>
                <w:sz w:val="24"/>
                <w:highlight w:val="none"/>
              </w:rPr>
              <w:t>注册地址</w:t>
            </w:r>
          </w:p>
        </w:tc>
        <w:tc>
          <w:tcPr>
            <w:tcW w:w="6425" w:type="dxa"/>
            <w:gridSpan w:val="3"/>
            <w:vAlign w:val="center"/>
          </w:tcPr>
          <w:p w14:paraId="0AC05876">
            <w:pPr>
              <w:keepNext w:val="0"/>
              <w:keepLines w:val="0"/>
              <w:pageBreakBefore w:val="0"/>
              <w:widowControl w:val="0"/>
              <w:kinsoku/>
              <w:overflowPunct/>
              <w:topLinePunct/>
              <w:bidi w:val="0"/>
              <w:adjustRightInd w:val="0"/>
              <w:snapToGrid w:val="0"/>
              <w:rPr>
                <w:rFonts w:ascii="宋体" w:hAnsi="宋体"/>
                <w:sz w:val="24"/>
                <w:highlight w:val="none"/>
              </w:rPr>
            </w:pPr>
          </w:p>
        </w:tc>
      </w:tr>
      <w:tr w14:paraId="6746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349AE46">
            <w:pPr>
              <w:keepNext w:val="0"/>
              <w:keepLines w:val="0"/>
              <w:pageBreakBefore w:val="0"/>
              <w:widowControl w:val="0"/>
              <w:kinsoku/>
              <w:overflowPunct/>
              <w:topLinePunct/>
              <w:bidi w:val="0"/>
              <w:adjustRightInd w:val="0"/>
              <w:snapToGrid w:val="0"/>
              <w:jc w:val="center"/>
              <w:rPr>
                <w:rFonts w:ascii="宋体" w:hAnsi="宋体"/>
                <w:sz w:val="24"/>
                <w:highlight w:val="none"/>
              </w:rPr>
            </w:pPr>
            <w:r>
              <w:rPr>
                <w:rFonts w:ascii="宋体" w:hAnsi="宋体"/>
                <w:sz w:val="24"/>
                <w:highlight w:val="none"/>
              </w:rPr>
              <w:t>统一社会信用代码</w:t>
            </w:r>
          </w:p>
        </w:tc>
        <w:tc>
          <w:tcPr>
            <w:tcW w:w="3576" w:type="dxa"/>
            <w:vAlign w:val="center"/>
          </w:tcPr>
          <w:p w14:paraId="3801424A">
            <w:pPr>
              <w:keepNext w:val="0"/>
              <w:keepLines w:val="0"/>
              <w:pageBreakBefore w:val="0"/>
              <w:widowControl w:val="0"/>
              <w:kinsoku/>
              <w:overflowPunct/>
              <w:topLinePunct/>
              <w:bidi w:val="0"/>
              <w:adjustRightInd w:val="0"/>
              <w:snapToGrid w:val="0"/>
              <w:rPr>
                <w:rFonts w:ascii="宋体" w:hAnsi="宋体"/>
                <w:sz w:val="24"/>
                <w:highlight w:val="none"/>
              </w:rPr>
            </w:pPr>
          </w:p>
        </w:tc>
        <w:tc>
          <w:tcPr>
            <w:tcW w:w="1248" w:type="dxa"/>
            <w:vAlign w:val="center"/>
          </w:tcPr>
          <w:p w14:paraId="45E8F398">
            <w:pPr>
              <w:keepNext w:val="0"/>
              <w:keepLines w:val="0"/>
              <w:pageBreakBefore w:val="0"/>
              <w:widowControl w:val="0"/>
              <w:kinsoku/>
              <w:overflowPunct/>
              <w:topLinePunct/>
              <w:bidi w:val="0"/>
              <w:adjustRightInd w:val="0"/>
              <w:snapToGrid w:val="0"/>
              <w:rPr>
                <w:rFonts w:ascii="宋体" w:hAnsi="宋体"/>
                <w:sz w:val="24"/>
                <w:highlight w:val="none"/>
              </w:rPr>
            </w:pPr>
            <w:r>
              <w:rPr>
                <w:rFonts w:ascii="宋体" w:hAnsi="宋体"/>
                <w:sz w:val="24"/>
                <w:highlight w:val="none"/>
              </w:rPr>
              <w:t>营业期限</w:t>
            </w:r>
          </w:p>
        </w:tc>
        <w:tc>
          <w:tcPr>
            <w:tcW w:w="1601" w:type="dxa"/>
            <w:vAlign w:val="center"/>
          </w:tcPr>
          <w:p w14:paraId="7A5AAE60">
            <w:pPr>
              <w:keepNext w:val="0"/>
              <w:keepLines w:val="0"/>
              <w:pageBreakBefore w:val="0"/>
              <w:widowControl w:val="0"/>
              <w:kinsoku/>
              <w:overflowPunct/>
              <w:topLinePunct/>
              <w:bidi w:val="0"/>
              <w:adjustRightInd w:val="0"/>
              <w:snapToGrid w:val="0"/>
              <w:rPr>
                <w:rFonts w:ascii="宋体" w:hAnsi="宋体"/>
                <w:sz w:val="24"/>
                <w:highlight w:val="none"/>
              </w:rPr>
            </w:pPr>
          </w:p>
        </w:tc>
      </w:tr>
      <w:tr w14:paraId="1DE8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3ADC23BD">
            <w:pPr>
              <w:keepNext w:val="0"/>
              <w:keepLines w:val="0"/>
              <w:pageBreakBefore w:val="0"/>
              <w:widowControl w:val="0"/>
              <w:kinsoku/>
              <w:overflowPunct/>
              <w:topLinePunct/>
              <w:bidi w:val="0"/>
              <w:adjustRightInd w:val="0"/>
              <w:snapToGrid w:val="0"/>
              <w:jc w:val="center"/>
              <w:rPr>
                <w:rFonts w:ascii="宋体" w:hAnsi="宋体"/>
                <w:sz w:val="24"/>
                <w:highlight w:val="none"/>
              </w:rPr>
            </w:pPr>
            <w:r>
              <w:rPr>
                <w:rFonts w:ascii="宋体" w:hAnsi="宋体"/>
                <w:sz w:val="24"/>
                <w:highlight w:val="none"/>
              </w:rPr>
              <w:t>法定代表人（负责人）</w:t>
            </w:r>
          </w:p>
        </w:tc>
        <w:tc>
          <w:tcPr>
            <w:tcW w:w="3576" w:type="dxa"/>
            <w:vAlign w:val="center"/>
          </w:tcPr>
          <w:p w14:paraId="5757E454">
            <w:pPr>
              <w:keepNext w:val="0"/>
              <w:keepLines w:val="0"/>
              <w:pageBreakBefore w:val="0"/>
              <w:widowControl w:val="0"/>
              <w:kinsoku/>
              <w:overflowPunct/>
              <w:topLinePunct/>
              <w:bidi w:val="0"/>
              <w:adjustRightInd w:val="0"/>
              <w:snapToGrid w:val="0"/>
              <w:rPr>
                <w:rFonts w:ascii="宋体" w:hAnsi="宋体"/>
                <w:sz w:val="24"/>
                <w:highlight w:val="none"/>
              </w:rPr>
            </w:pPr>
          </w:p>
        </w:tc>
        <w:tc>
          <w:tcPr>
            <w:tcW w:w="1248" w:type="dxa"/>
            <w:vAlign w:val="center"/>
          </w:tcPr>
          <w:p w14:paraId="3509A55C">
            <w:pPr>
              <w:keepNext w:val="0"/>
              <w:keepLines w:val="0"/>
              <w:pageBreakBefore w:val="0"/>
              <w:widowControl w:val="0"/>
              <w:kinsoku/>
              <w:overflowPunct/>
              <w:topLinePunct/>
              <w:bidi w:val="0"/>
              <w:adjustRightInd w:val="0"/>
              <w:snapToGrid w:val="0"/>
              <w:rPr>
                <w:rFonts w:ascii="宋体" w:hAnsi="宋体"/>
                <w:sz w:val="24"/>
                <w:highlight w:val="none"/>
              </w:rPr>
            </w:pPr>
            <w:r>
              <w:rPr>
                <w:rFonts w:hint="eastAsia" w:ascii="宋体" w:hAnsi="宋体"/>
                <w:sz w:val="24"/>
                <w:highlight w:val="none"/>
              </w:rPr>
              <w:t>注册资金</w:t>
            </w:r>
          </w:p>
        </w:tc>
        <w:tc>
          <w:tcPr>
            <w:tcW w:w="1601" w:type="dxa"/>
            <w:vAlign w:val="center"/>
          </w:tcPr>
          <w:p w14:paraId="0C8F81F7">
            <w:pPr>
              <w:keepNext w:val="0"/>
              <w:keepLines w:val="0"/>
              <w:pageBreakBefore w:val="0"/>
              <w:widowControl w:val="0"/>
              <w:kinsoku/>
              <w:overflowPunct/>
              <w:topLinePunct/>
              <w:bidi w:val="0"/>
              <w:adjustRightInd w:val="0"/>
              <w:snapToGrid w:val="0"/>
              <w:rPr>
                <w:rFonts w:ascii="宋体" w:hAnsi="宋体"/>
                <w:sz w:val="24"/>
                <w:highlight w:val="none"/>
              </w:rPr>
            </w:pPr>
          </w:p>
        </w:tc>
      </w:tr>
      <w:tr w14:paraId="60B7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0D410D5A">
            <w:pPr>
              <w:keepNext w:val="0"/>
              <w:keepLines w:val="0"/>
              <w:pageBreakBefore w:val="0"/>
              <w:widowControl w:val="0"/>
              <w:kinsoku/>
              <w:overflowPunct/>
              <w:topLinePunct/>
              <w:bidi w:val="0"/>
              <w:adjustRightInd w:val="0"/>
              <w:snapToGrid w:val="0"/>
              <w:jc w:val="center"/>
              <w:rPr>
                <w:rFonts w:ascii="宋体" w:hAnsi="宋体"/>
                <w:sz w:val="24"/>
                <w:highlight w:val="none"/>
              </w:rPr>
            </w:pPr>
            <w:r>
              <w:rPr>
                <w:rFonts w:ascii="宋体" w:hAnsi="宋体"/>
                <w:sz w:val="24"/>
                <w:highlight w:val="none"/>
              </w:rPr>
              <w:t>基本开户银行</w:t>
            </w:r>
          </w:p>
        </w:tc>
        <w:tc>
          <w:tcPr>
            <w:tcW w:w="3576" w:type="dxa"/>
            <w:vAlign w:val="center"/>
          </w:tcPr>
          <w:p w14:paraId="7B8314B7">
            <w:pPr>
              <w:keepNext w:val="0"/>
              <w:keepLines w:val="0"/>
              <w:pageBreakBefore w:val="0"/>
              <w:widowControl w:val="0"/>
              <w:kinsoku/>
              <w:overflowPunct/>
              <w:topLinePunct/>
              <w:bidi w:val="0"/>
              <w:adjustRightInd w:val="0"/>
              <w:snapToGrid w:val="0"/>
              <w:rPr>
                <w:rFonts w:ascii="宋体" w:hAnsi="宋体"/>
                <w:sz w:val="24"/>
                <w:highlight w:val="none"/>
              </w:rPr>
            </w:pPr>
          </w:p>
        </w:tc>
        <w:tc>
          <w:tcPr>
            <w:tcW w:w="1248" w:type="dxa"/>
            <w:vAlign w:val="center"/>
          </w:tcPr>
          <w:p w14:paraId="567236AF">
            <w:pPr>
              <w:keepNext w:val="0"/>
              <w:keepLines w:val="0"/>
              <w:pageBreakBefore w:val="0"/>
              <w:widowControl w:val="0"/>
              <w:kinsoku/>
              <w:overflowPunct/>
              <w:topLinePunct/>
              <w:bidi w:val="0"/>
              <w:adjustRightInd w:val="0"/>
              <w:snapToGrid w:val="0"/>
              <w:rPr>
                <w:rFonts w:ascii="宋体" w:hAnsi="宋体"/>
                <w:sz w:val="24"/>
                <w:highlight w:val="none"/>
              </w:rPr>
            </w:pPr>
            <w:r>
              <w:rPr>
                <w:rFonts w:hint="eastAsia" w:ascii="宋体" w:hAnsi="宋体"/>
                <w:sz w:val="24"/>
                <w:highlight w:val="none"/>
              </w:rPr>
              <w:t>银行</w:t>
            </w:r>
            <w:r>
              <w:rPr>
                <w:rFonts w:ascii="宋体" w:hAnsi="宋体"/>
                <w:sz w:val="24"/>
                <w:highlight w:val="none"/>
              </w:rPr>
              <w:t>账号</w:t>
            </w:r>
          </w:p>
        </w:tc>
        <w:tc>
          <w:tcPr>
            <w:tcW w:w="1601" w:type="dxa"/>
            <w:vAlign w:val="center"/>
          </w:tcPr>
          <w:p w14:paraId="3F378DF3">
            <w:pPr>
              <w:keepNext w:val="0"/>
              <w:keepLines w:val="0"/>
              <w:pageBreakBefore w:val="0"/>
              <w:widowControl w:val="0"/>
              <w:kinsoku/>
              <w:overflowPunct/>
              <w:topLinePunct/>
              <w:bidi w:val="0"/>
              <w:adjustRightInd w:val="0"/>
              <w:snapToGrid w:val="0"/>
              <w:rPr>
                <w:rFonts w:ascii="宋体" w:hAnsi="宋体"/>
                <w:sz w:val="24"/>
                <w:highlight w:val="none"/>
              </w:rPr>
            </w:pPr>
          </w:p>
        </w:tc>
      </w:tr>
      <w:tr w14:paraId="3835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737F6598">
            <w:pPr>
              <w:keepNext w:val="0"/>
              <w:keepLines w:val="0"/>
              <w:pageBreakBefore w:val="0"/>
              <w:widowControl w:val="0"/>
              <w:kinsoku/>
              <w:overflowPunct/>
              <w:topLinePunct/>
              <w:bidi w:val="0"/>
              <w:adjustRightInd w:val="0"/>
              <w:snapToGrid w:val="0"/>
              <w:jc w:val="center"/>
              <w:rPr>
                <w:rFonts w:ascii="宋体" w:hAnsi="宋体"/>
                <w:sz w:val="24"/>
                <w:highlight w:val="none"/>
              </w:rPr>
            </w:pPr>
            <w:r>
              <w:rPr>
                <w:rFonts w:ascii="宋体" w:hAnsi="宋体"/>
                <w:sz w:val="24"/>
                <w:highlight w:val="none"/>
              </w:rPr>
              <w:t>银行行号</w:t>
            </w:r>
          </w:p>
        </w:tc>
        <w:tc>
          <w:tcPr>
            <w:tcW w:w="6425" w:type="dxa"/>
            <w:gridSpan w:val="3"/>
            <w:vAlign w:val="center"/>
          </w:tcPr>
          <w:p w14:paraId="4CEF3D34">
            <w:pPr>
              <w:keepNext w:val="0"/>
              <w:keepLines w:val="0"/>
              <w:pageBreakBefore w:val="0"/>
              <w:widowControl w:val="0"/>
              <w:kinsoku/>
              <w:overflowPunct/>
              <w:topLinePunct/>
              <w:bidi w:val="0"/>
              <w:adjustRightInd w:val="0"/>
              <w:snapToGrid w:val="0"/>
              <w:rPr>
                <w:rFonts w:ascii="宋体" w:hAnsi="宋体"/>
                <w:sz w:val="24"/>
                <w:highlight w:val="none"/>
              </w:rPr>
            </w:pPr>
          </w:p>
        </w:tc>
      </w:tr>
      <w:tr w14:paraId="026C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617DC2AA">
            <w:pPr>
              <w:keepNext w:val="0"/>
              <w:keepLines w:val="0"/>
              <w:pageBreakBefore w:val="0"/>
              <w:widowControl w:val="0"/>
              <w:kinsoku/>
              <w:overflowPunct/>
              <w:topLinePunct/>
              <w:bidi w:val="0"/>
              <w:adjustRightInd w:val="0"/>
              <w:snapToGrid w:val="0"/>
              <w:jc w:val="center"/>
              <w:rPr>
                <w:rFonts w:ascii="宋体" w:hAnsi="宋体"/>
                <w:sz w:val="24"/>
                <w:highlight w:val="none"/>
              </w:rPr>
            </w:pPr>
            <w:r>
              <w:rPr>
                <w:rFonts w:hint="eastAsia" w:ascii="宋体" w:hAnsi="宋体"/>
                <w:sz w:val="24"/>
                <w:highlight w:val="none"/>
              </w:rPr>
              <w:t>企业划型标准</w:t>
            </w:r>
          </w:p>
        </w:tc>
        <w:tc>
          <w:tcPr>
            <w:tcW w:w="6425" w:type="dxa"/>
            <w:gridSpan w:val="3"/>
            <w:vAlign w:val="center"/>
          </w:tcPr>
          <w:p w14:paraId="72473E6D">
            <w:pPr>
              <w:keepNext w:val="0"/>
              <w:keepLines w:val="0"/>
              <w:pageBreakBefore w:val="0"/>
              <w:widowControl w:val="0"/>
              <w:kinsoku/>
              <w:overflowPunct/>
              <w:topLinePunct/>
              <w:bidi w:val="0"/>
              <w:adjustRightInd w:val="0"/>
              <w:snapToGrid w:val="0"/>
              <w:rPr>
                <w:rFonts w:ascii="宋体" w:hAnsi="宋体"/>
                <w:sz w:val="24"/>
                <w:highlight w:val="none"/>
              </w:rPr>
            </w:pPr>
            <w:r>
              <w:rPr>
                <w:rFonts w:ascii="宋体" w:hAnsi="宋体"/>
                <w:sz w:val="24"/>
                <w:highlight w:val="none"/>
              </w:rPr>
              <w:sym w:font="Wingdings 2" w:char="00A3"/>
            </w:r>
            <w:r>
              <w:rPr>
                <w:rFonts w:hint="eastAsia" w:ascii="宋体" w:hAnsi="宋体"/>
                <w:sz w:val="24"/>
                <w:highlight w:val="none"/>
              </w:rPr>
              <w:t xml:space="preserve">大型企业   </w:t>
            </w:r>
            <w:r>
              <w:rPr>
                <w:rFonts w:ascii="宋体" w:hAnsi="宋体"/>
                <w:sz w:val="24"/>
                <w:highlight w:val="none"/>
              </w:rPr>
              <w:sym w:font="Wingdings 2" w:char="00A3"/>
            </w:r>
            <w:r>
              <w:rPr>
                <w:rFonts w:hint="eastAsia" w:ascii="宋体" w:hAnsi="宋体"/>
                <w:sz w:val="24"/>
                <w:highlight w:val="none"/>
              </w:rPr>
              <w:t xml:space="preserve">中型企业   </w:t>
            </w:r>
            <w:r>
              <w:rPr>
                <w:rFonts w:ascii="宋体" w:hAnsi="宋体"/>
                <w:sz w:val="24"/>
                <w:highlight w:val="none"/>
              </w:rPr>
              <w:sym w:font="Wingdings 2" w:char="00A3"/>
            </w:r>
            <w:r>
              <w:rPr>
                <w:rFonts w:hint="eastAsia" w:ascii="宋体" w:hAnsi="宋体"/>
                <w:sz w:val="24"/>
                <w:highlight w:val="none"/>
              </w:rPr>
              <w:t xml:space="preserve">小型企业   </w:t>
            </w:r>
            <w:r>
              <w:rPr>
                <w:rFonts w:ascii="宋体" w:hAnsi="宋体"/>
                <w:sz w:val="24"/>
                <w:highlight w:val="none"/>
              </w:rPr>
              <w:sym w:font="Wingdings 2" w:char="00A3"/>
            </w:r>
            <w:r>
              <w:rPr>
                <w:rFonts w:hint="eastAsia" w:ascii="宋体" w:hAnsi="宋体"/>
                <w:sz w:val="24"/>
                <w:highlight w:val="none"/>
              </w:rPr>
              <w:t>微型企业</w:t>
            </w:r>
          </w:p>
        </w:tc>
      </w:tr>
      <w:tr w14:paraId="67E6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5B61F7CE">
            <w:pPr>
              <w:keepNext w:val="0"/>
              <w:keepLines w:val="0"/>
              <w:pageBreakBefore w:val="0"/>
              <w:widowControl w:val="0"/>
              <w:kinsoku/>
              <w:overflowPunct/>
              <w:topLinePunct/>
              <w:bidi w:val="0"/>
              <w:adjustRightInd w:val="0"/>
              <w:snapToGrid w:val="0"/>
              <w:jc w:val="center"/>
              <w:rPr>
                <w:rFonts w:ascii="宋体" w:hAnsi="宋体"/>
                <w:sz w:val="24"/>
                <w:highlight w:val="none"/>
              </w:rPr>
            </w:pPr>
            <w:r>
              <w:rPr>
                <w:rFonts w:hint="eastAsia" w:ascii="宋体" w:hAnsi="宋体"/>
                <w:sz w:val="24"/>
                <w:highlight w:val="none"/>
              </w:rPr>
              <w:t>是否外商投资企业</w:t>
            </w:r>
          </w:p>
        </w:tc>
        <w:tc>
          <w:tcPr>
            <w:tcW w:w="6425" w:type="dxa"/>
            <w:gridSpan w:val="3"/>
            <w:vAlign w:val="center"/>
          </w:tcPr>
          <w:p w14:paraId="51432627">
            <w:pPr>
              <w:keepNext w:val="0"/>
              <w:keepLines w:val="0"/>
              <w:pageBreakBefore w:val="0"/>
              <w:widowControl w:val="0"/>
              <w:kinsoku/>
              <w:overflowPunct/>
              <w:topLinePunct/>
              <w:bidi w:val="0"/>
              <w:adjustRightInd w:val="0"/>
              <w:snapToGrid w:val="0"/>
              <w:rPr>
                <w:rFonts w:ascii="宋体" w:hAnsi="宋体"/>
                <w:sz w:val="24"/>
                <w:highlight w:val="none"/>
              </w:rPr>
            </w:pPr>
            <w:r>
              <w:rPr>
                <w:rFonts w:ascii="宋体" w:hAnsi="宋体"/>
                <w:sz w:val="24"/>
                <w:highlight w:val="none"/>
              </w:rPr>
              <w:sym w:font="Wingdings" w:char="00A8"/>
            </w:r>
            <w:r>
              <w:rPr>
                <w:rFonts w:ascii="宋体" w:hAnsi="宋体"/>
                <w:sz w:val="24"/>
                <w:highlight w:val="none"/>
              </w:rPr>
              <w:t xml:space="preserve">是    </w:t>
            </w:r>
            <w:r>
              <w:rPr>
                <w:rFonts w:ascii="宋体" w:hAnsi="宋体"/>
                <w:sz w:val="24"/>
                <w:highlight w:val="none"/>
              </w:rPr>
              <w:sym w:font="Wingdings" w:char="00A8"/>
            </w:r>
            <w:r>
              <w:rPr>
                <w:rFonts w:ascii="宋体" w:hAnsi="宋体"/>
                <w:sz w:val="24"/>
                <w:highlight w:val="none"/>
              </w:rPr>
              <w:t>否</w:t>
            </w:r>
          </w:p>
        </w:tc>
      </w:tr>
      <w:tr w14:paraId="724C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6" w:type="dxa"/>
            <w:vAlign w:val="center"/>
          </w:tcPr>
          <w:p w14:paraId="4B5191E8">
            <w:pPr>
              <w:keepNext w:val="0"/>
              <w:keepLines w:val="0"/>
              <w:pageBreakBefore w:val="0"/>
              <w:widowControl w:val="0"/>
              <w:kinsoku/>
              <w:overflowPunct/>
              <w:topLinePunct/>
              <w:bidi w:val="0"/>
              <w:adjustRightInd w:val="0"/>
              <w:snapToGrid w:val="0"/>
              <w:jc w:val="center"/>
              <w:rPr>
                <w:rFonts w:ascii="宋体" w:hAnsi="宋体"/>
                <w:sz w:val="24"/>
                <w:highlight w:val="none"/>
              </w:rPr>
            </w:pPr>
            <w:r>
              <w:rPr>
                <w:rFonts w:hint="eastAsia" w:ascii="宋体" w:hAnsi="宋体"/>
                <w:sz w:val="24"/>
                <w:highlight w:val="none"/>
              </w:rPr>
              <w:t>外商投资企业类型</w:t>
            </w:r>
          </w:p>
        </w:tc>
        <w:tc>
          <w:tcPr>
            <w:tcW w:w="6425" w:type="dxa"/>
            <w:gridSpan w:val="3"/>
          </w:tcPr>
          <w:p w14:paraId="2C5CBD43">
            <w:pPr>
              <w:keepNext w:val="0"/>
              <w:keepLines w:val="0"/>
              <w:pageBreakBefore w:val="0"/>
              <w:widowControl w:val="0"/>
              <w:kinsoku/>
              <w:overflowPunct/>
              <w:topLinePunct/>
              <w:bidi w:val="0"/>
              <w:adjustRightInd w:val="0"/>
              <w:snapToGrid w:val="0"/>
              <w:spacing w:line="360" w:lineRule="auto"/>
              <w:rPr>
                <w:rFonts w:ascii="宋体" w:hAnsi="宋体"/>
                <w:sz w:val="24"/>
                <w:highlight w:val="none"/>
              </w:rPr>
            </w:pPr>
            <w:r>
              <w:rPr>
                <w:rFonts w:ascii="宋体" w:hAnsi="宋体"/>
                <w:sz w:val="24"/>
                <w:highlight w:val="none"/>
              </w:rPr>
              <w:sym w:font="Wingdings" w:char="00A8"/>
            </w:r>
            <w:r>
              <w:rPr>
                <w:rFonts w:ascii="宋体" w:hAnsi="宋体"/>
                <w:sz w:val="24"/>
                <w:highlight w:val="none"/>
              </w:rPr>
              <w:t xml:space="preserve">全部由外国投资者投资  </w:t>
            </w:r>
            <w:r>
              <w:rPr>
                <w:rFonts w:ascii="宋体" w:hAnsi="宋体"/>
                <w:sz w:val="24"/>
                <w:highlight w:val="none"/>
              </w:rPr>
              <w:sym w:font="Wingdings" w:char="00A8"/>
            </w:r>
            <w:r>
              <w:rPr>
                <w:rFonts w:ascii="宋体" w:hAnsi="宋体"/>
                <w:sz w:val="24"/>
                <w:highlight w:val="none"/>
              </w:rPr>
              <w:t>部分由外国投资者投资</w:t>
            </w:r>
            <w:r>
              <w:rPr>
                <w:rFonts w:hint="eastAsia" w:ascii="宋体" w:hAnsi="宋体"/>
                <w:sz w:val="24"/>
                <w:highlight w:val="none"/>
              </w:rPr>
              <w:t xml:space="preserve">   </w:t>
            </w:r>
          </w:p>
          <w:p w14:paraId="7E44A3C5">
            <w:pPr>
              <w:keepNext w:val="0"/>
              <w:keepLines w:val="0"/>
              <w:pageBreakBefore w:val="0"/>
              <w:widowControl w:val="0"/>
              <w:kinsoku/>
              <w:overflowPunct/>
              <w:topLinePunct/>
              <w:bidi w:val="0"/>
              <w:adjustRightInd w:val="0"/>
              <w:snapToGrid w:val="0"/>
              <w:spacing w:line="360" w:lineRule="auto"/>
              <w:rPr>
                <w:rFonts w:ascii="宋体" w:hAnsi="宋体"/>
                <w:sz w:val="24"/>
                <w:highlight w:val="none"/>
              </w:rPr>
            </w:pPr>
            <w:r>
              <w:rPr>
                <w:rFonts w:ascii="宋体" w:hAnsi="宋体"/>
                <w:sz w:val="24"/>
                <w:highlight w:val="none"/>
              </w:rPr>
              <w:sym w:font="Wingdings" w:char="00A8"/>
            </w:r>
            <w:r>
              <w:rPr>
                <w:rFonts w:hint="eastAsia" w:ascii="宋体" w:hAnsi="宋体"/>
                <w:sz w:val="24"/>
                <w:highlight w:val="none"/>
              </w:rPr>
              <w:t>不涉及</w:t>
            </w:r>
          </w:p>
        </w:tc>
      </w:tr>
    </w:tbl>
    <w:p w14:paraId="391B01B9">
      <w:pPr>
        <w:keepNext w:val="0"/>
        <w:keepLines w:val="0"/>
        <w:pageBreakBefore w:val="0"/>
        <w:widowControl w:val="0"/>
        <w:kinsoku/>
        <w:overflowPunct/>
        <w:topLinePunct/>
        <w:bidi w:val="0"/>
        <w:adjustRightInd w:val="0"/>
        <w:snapToGrid w:val="0"/>
        <w:spacing w:before="120" w:beforeLines="50" w:line="360" w:lineRule="auto"/>
        <w:ind w:firstLine="480" w:firstLineChars="200"/>
        <w:rPr>
          <w:sz w:val="24"/>
          <w:highlight w:val="none"/>
        </w:rPr>
      </w:pPr>
      <w:r>
        <w:rPr>
          <w:sz w:val="24"/>
          <w:highlight w:val="none"/>
        </w:rPr>
        <w:t>以上承诺信息如有虚假或隐瞒，我方愿意承担一切后果，并不再寻求任何旨在减轻或免除</w:t>
      </w:r>
      <w:r>
        <w:rPr>
          <w:rFonts w:hint="eastAsia"/>
          <w:sz w:val="24"/>
          <w:highlight w:val="none"/>
        </w:rPr>
        <w:t>法律</w:t>
      </w:r>
      <w:r>
        <w:rPr>
          <w:sz w:val="24"/>
          <w:highlight w:val="none"/>
        </w:rPr>
        <w:t xml:space="preserve">责任的辩解。 </w:t>
      </w:r>
    </w:p>
    <w:p w14:paraId="7F797424">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特此承诺。</w:t>
      </w:r>
    </w:p>
    <w:p w14:paraId="1167BF21">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rFonts w:hint="eastAsia"/>
          <w:sz w:val="24"/>
          <w:highlight w:val="none"/>
        </w:rPr>
        <w:t>投标人</w:t>
      </w:r>
      <w:r>
        <w:rPr>
          <w:sz w:val="24"/>
          <w:highlight w:val="none"/>
        </w:rPr>
        <w:t>名称：</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（盖章）</w:t>
      </w:r>
    </w:p>
    <w:p w14:paraId="40D20D80">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sz w:val="24"/>
          <w:highlight w:val="none"/>
        </w:rPr>
        <w:t>法定代表人（负责人）：</w:t>
      </w:r>
      <w:r>
        <w:rPr>
          <w:sz w:val="24"/>
          <w:highlight w:val="none"/>
          <w:u w:val="single"/>
        </w:rPr>
        <w:t xml:space="preserve">          </w:t>
      </w:r>
      <w:r>
        <w:rPr>
          <w:sz w:val="24"/>
          <w:highlight w:val="none"/>
        </w:rPr>
        <w:t xml:space="preserve">（签字或盖章）  </w:t>
      </w:r>
    </w:p>
    <w:p w14:paraId="38905B74">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sz w:val="24"/>
          <w:highlight w:val="none"/>
        </w:rPr>
        <w:t>日      期：</w:t>
      </w:r>
    </w:p>
    <w:p w14:paraId="4AA3465D">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r>
        <w:rPr>
          <w:b/>
          <w:kern w:val="0"/>
          <w:sz w:val="24"/>
          <w:highlight w:val="none"/>
        </w:rPr>
        <w:br w:type="page"/>
      </w:r>
      <w:bookmarkStart w:id="74" w:name="_Toc180347477"/>
      <w:r>
        <w:rPr>
          <w:rFonts w:ascii="宋体" w:hAnsi="宋体"/>
          <w:b/>
          <w:kern w:val="0"/>
          <w:sz w:val="24"/>
          <w:highlight w:val="none"/>
        </w:rPr>
        <w:t>2．具有良好的商业信誉和健全的财务会计制度的</w:t>
      </w:r>
      <w:r>
        <w:rPr>
          <w:rFonts w:hint="eastAsia" w:ascii="宋体" w:hAnsi="宋体"/>
          <w:b/>
          <w:kern w:val="0"/>
          <w:sz w:val="24"/>
          <w:highlight w:val="none"/>
        </w:rPr>
        <w:t>信用承诺书</w:t>
      </w:r>
      <w:bookmarkEnd w:id="74"/>
    </w:p>
    <w:p w14:paraId="323CD812">
      <w:pPr>
        <w:keepNext w:val="0"/>
        <w:keepLines w:val="0"/>
        <w:pageBreakBefore w:val="0"/>
        <w:widowControl w:val="0"/>
        <w:kinsoku/>
        <w:overflowPunct/>
        <w:topLinePunct/>
        <w:bidi w:val="0"/>
        <w:ind w:firstLine="482"/>
        <w:jc w:val="center"/>
        <w:rPr>
          <w:b/>
          <w:kern w:val="0"/>
          <w:sz w:val="24"/>
          <w:highlight w:val="none"/>
        </w:rPr>
      </w:pPr>
    </w:p>
    <w:p w14:paraId="3C06D788">
      <w:pPr>
        <w:keepNext w:val="0"/>
        <w:keepLines w:val="0"/>
        <w:pageBreakBefore w:val="0"/>
        <w:widowControl w:val="0"/>
        <w:kinsoku/>
        <w:overflowPunct/>
        <w:topLinePunct/>
        <w:bidi w:val="0"/>
        <w:adjustRightInd w:val="0"/>
        <w:snapToGrid w:val="0"/>
        <w:spacing w:line="360" w:lineRule="auto"/>
        <w:ind w:firstLine="482"/>
        <w:jc w:val="center"/>
        <w:rPr>
          <w:b/>
          <w:kern w:val="0"/>
          <w:sz w:val="24"/>
          <w:highlight w:val="none"/>
        </w:rPr>
      </w:pPr>
      <w:r>
        <w:rPr>
          <w:rFonts w:hint="eastAsia"/>
          <w:b/>
          <w:kern w:val="0"/>
          <w:sz w:val="24"/>
          <w:highlight w:val="none"/>
          <w:lang w:val="en-US" w:eastAsia="zh-CN"/>
        </w:rPr>
        <w:t>供应商</w:t>
      </w:r>
      <w:r>
        <w:rPr>
          <w:rFonts w:hint="eastAsia"/>
          <w:b/>
          <w:kern w:val="0"/>
          <w:sz w:val="24"/>
          <w:highlight w:val="none"/>
        </w:rPr>
        <w:t>信用承诺书</w:t>
      </w:r>
    </w:p>
    <w:p w14:paraId="1FFC8F5D">
      <w:pPr>
        <w:keepNext w:val="0"/>
        <w:keepLines w:val="0"/>
        <w:pageBreakBefore w:val="0"/>
        <w:widowControl w:val="0"/>
        <w:kinsoku/>
        <w:overflowPunct/>
        <w:topLinePunct/>
        <w:bidi w:val="0"/>
        <w:ind w:firstLine="480"/>
        <w:rPr>
          <w:sz w:val="24"/>
          <w:highlight w:val="none"/>
          <w:u w:val="single"/>
        </w:rPr>
      </w:pPr>
    </w:p>
    <w:p w14:paraId="24AFE28F">
      <w:pPr>
        <w:keepNext w:val="0"/>
        <w:keepLines w:val="0"/>
        <w:pageBreakBefore w:val="0"/>
        <w:widowControl w:val="0"/>
        <w:kinsoku/>
        <w:overflowPunct/>
        <w:topLinePunct/>
        <w:bidi w:val="0"/>
        <w:adjustRightInd w:val="0"/>
        <w:snapToGrid w:val="0"/>
        <w:spacing w:line="360" w:lineRule="auto"/>
        <w:rPr>
          <w:sz w:val="24"/>
          <w:highlight w:val="none"/>
          <w:u w:val="single"/>
        </w:rPr>
      </w:pPr>
      <w:r>
        <w:rPr>
          <w:sz w:val="24"/>
          <w:highlight w:val="none"/>
          <w:u w:val="single"/>
        </w:rPr>
        <w:t xml:space="preserve">  </w:t>
      </w:r>
      <w:r>
        <w:rPr>
          <w:rFonts w:hint="eastAsia"/>
          <w:sz w:val="24"/>
          <w:highlight w:val="none"/>
          <w:u w:val="single"/>
          <w:lang w:val="en-US" w:eastAsia="zh-CN"/>
        </w:rPr>
        <w:t>（</w:t>
      </w:r>
      <w:r>
        <w:rPr>
          <w:sz w:val="24"/>
          <w:highlight w:val="none"/>
          <w:u w:val="single"/>
        </w:rPr>
        <w:t>采购代理机构名称</w:t>
      </w:r>
      <w:r>
        <w:rPr>
          <w:rFonts w:hint="eastAsia"/>
          <w:sz w:val="24"/>
          <w:highlight w:val="none"/>
          <w:u w:val="single"/>
          <w:lang w:val="en-US" w:eastAsia="zh-CN"/>
        </w:rPr>
        <w:t>）</w:t>
      </w:r>
      <w:r>
        <w:rPr>
          <w:sz w:val="24"/>
          <w:highlight w:val="none"/>
          <w:u w:val="single"/>
        </w:rPr>
        <w:t xml:space="preserve">  ：</w:t>
      </w:r>
    </w:p>
    <w:p w14:paraId="5CF272EC">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p>
    <w:p w14:paraId="54EB4E13">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rFonts w:hint="eastAsia"/>
          <w:sz w:val="24"/>
          <w:highlight w:val="none"/>
        </w:rPr>
        <w:t>我单位</w:t>
      </w:r>
      <w:r>
        <w:rPr>
          <w:sz w:val="24"/>
          <w:highlight w:val="none"/>
        </w:rPr>
        <w:t>现参与贵公司组织的</w:t>
      </w:r>
      <w:r>
        <w:rPr>
          <w:sz w:val="24"/>
          <w:highlight w:val="none"/>
          <w:u w:val="single"/>
        </w:rPr>
        <w:t xml:space="preserve">            </w:t>
      </w:r>
      <w:r>
        <w:rPr>
          <w:sz w:val="24"/>
          <w:highlight w:val="none"/>
        </w:rPr>
        <w:t>项目（项目编号：</w:t>
      </w:r>
      <w:r>
        <w:rPr>
          <w:sz w:val="24"/>
          <w:highlight w:val="none"/>
          <w:u w:val="single"/>
        </w:rPr>
        <w:t xml:space="preserve">      </w:t>
      </w:r>
      <w:r>
        <w:rPr>
          <w:kern w:val="0"/>
          <w:sz w:val="24"/>
          <w:highlight w:val="none"/>
          <w:u w:val="single"/>
        </w:rPr>
        <w:t xml:space="preserve">    </w:t>
      </w:r>
      <w:r>
        <w:rPr>
          <w:sz w:val="24"/>
          <w:highlight w:val="none"/>
        </w:rPr>
        <w:t>）的采购活动。依据</w:t>
      </w:r>
      <w:r>
        <w:rPr>
          <w:rFonts w:hint="eastAsia"/>
          <w:sz w:val="24"/>
          <w:highlight w:val="none"/>
        </w:rPr>
        <w:t>招标文件</w:t>
      </w:r>
      <w:r>
        <w:rPr>
          <w:sz w:val="24"/>
          <w:highlight w:val="none"/>
        </w:rPr>
        <w:t>相关规定，现郑重承诺：</w:t>
      </w:r>
    </w:p>
    <w:p w14:paraId="5D36696B">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我方具备《中华人民共和国政府采购法》</w:t>
      </w:r>
      <w:r>
        <w:rPr>
          <w:rFonts w:hint="eastAsia"/>
          <w:sz w:val="24"/>
          <w:highlight w:val="none"/>
        </w:rPr>
        <w:t>第二十二条规定的投标人参加政府采购活动应“</w:t>
      </w:r>
      <w:r>
        <w:rPr>
          <w:sz w:val="24"/>
          <w:highlight w:val="none"/>
        </w:rPr>
        <w:t>具有良好的商业信誉和健全的财务会计制度</w:t>
      </w:r>
      <w:r>
        <w:rPr>
          <w:rFonts w:hint="eastAsia"/>
          <w:sz w:val="24"/>
          <w:highlight w:val="none"/>
        </w:rPr>
        <w:t>”的资格条件</w:t>
      </w:r>
      <w:r>
        <w:rPr>
          <w:sz w:val="24"/>
          <w:highlight w:val="none"/>
        </w:rPr>
        <w:t>，且具有《中华人民共和国政府采购法实施条例》第十七条</w:t>
      </w:r>
      <w:r>
        <w:rPr>
          <w:rFonts w:hint="eastAsia"/>
          <w:sz w:val="24"/>
          <w:highlight w:val="none"/>
        </w:rPr>
        <w:t>规定参加政府采购活动需提供的合法有效的“财务状况报告相关证明材料”或“</w:t>
      </w:r>
      <w:r>
        <w:rPr>
          <w:sz w:val="24"/>
          <w:highlight w:val="none"/>
        </w:rPr>
        <w:t>在基本户开户银行出具的无不良记录资信证明</w:t>
      </w:r>
      <w:r>
        <w:rPr>
          <w:rFonts w:hint="eastAsia"/>
          <w:sz w:val="24"/>
          <w:highlight w:val="none"/>
        </w:rPr>
        <w:t>”</w:t>
      </w:r>
      <w:r>
        <w:rPr>
          <w:sz w:val="24"/>
          <w:highlight w:val="none"/>
        </w:rPr>
        <w:t>等文件。</w:t>
      </w:r>
    </w:p>
    <w:p w14:paraId="4555E4E8">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以上承诺信息如有虚假或隐瞒，我方愿意承担一切后果，并不再寻求任何旨在减轻或免除</w:t>
      </w:r>
      <w:r>
        <w:rPr>
          <w:rFonts w:hint="eastAsia"/>
          <w:sz w:val="24"/>
          <w:highlight w:val="none"/>
        </w:rPr>
        <w:t>法律</w:t>
      </w:r>
      <w:r>
        <w:rPr>
          <w:sz w:val="24"/>
          <w:highlight w:val="none"/>
        </w:rPr>
        <w:t xml:space="preserve">责任的辩解。 </w:t>
      </w:r>
    </w:p>
    <w:p w14:paraId="39AC4C55">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 xml:space="preserve"> </w:t>
      </w:r>
    </w:p>
    <w:p w14:paraId="4C0263CB">
      <w:pPr>
        <w:keepNext w:val="0"/>
        <w:keepLines w:val="0"/>
        <w:pageBreakBefore w:val="0"/>
        <w:widowControl w:val="0"/>
        <w:kinsoku/>
        <w:overflowPunct/>
        <w:topLinePunct/>
        <w:bidi w:val="0"/>
        <w:adjustRightInd w:val="0"/>
        <w:snapToGrid w:val="0"/>
        <w:spacing w:line="360" w:lineRule="auto"/>
        <w:ind w:firstLine="480" w:firstLineChars="200"/>
        <w:rPr>
          <w:highlight w:val="none"/>
        </w:rPr>
      </w:pPr>
      <w:r>
        <w:rPr>
          <w:sz w:val="24"/>
          <w:highlight w:val="none"/>
        </w:rPr>
        <w:t>特此承诺。</w:t>
      </w:r>
    </w:p>
    <w:p w14:paraId="50159370">
      <w:pPr>
        <w:keepNext w:val="0"/>
        <w:keepLines w:val="0"/>
        <w:pageBreakBefore w:val="0"/>
        <w:widowControl w:val="0"/>
        <w:kinsoku/>
        <w:overflowPunct/>
        <w:topLinePunct/>
        <w:bidi w:val="0"/>
        <w:snapToGrid w:val="0"/>
        <w:spacing w:line="360" w:lineRule="auto"/>
        <w:ind w:firstLine="480" w:firstLineChars="200"/>
        <w:rPr>
          <w:sz w:val="24"/>
          <w:highlight w:val="none"/>
        </w:rPr>
      </w:pPr>
    </w:p>
    <w:p w14:paraId="409B7A2A">
      <w:pPr>
        <w:keepNext w:val="0"/>
        <w:keepLines w:val="0"/>
        <w:pageBreakBefore w:val="0"/>
        <w:widowControl w:val="0"/>
        <w:kinsoku/>
        <w:overflowPunct/>
        <w:topLinePunct/>
        <w:bidi w:val="0"/>
        <w:snapToGrid w:val="0"/>
        <w:spacing w:line="360" w:lineRule="auto"/>
        <w:ind w:firstLine="480" w:firstLineChars="200"/>
        <w:rPr>
          <w:sz w:val="24"/>
          <w:highlight w:val="none"/>
        </w:rPr>
      </w:pPr>
    </w:p>
    <w:p w14:paraId="6E5CBA32">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rFonts w:hint="eastAsia"/>
          <w:sz w:val="24"/>
          <w:highlight w:val="none"/>
        </w:rPr>
        <w:t>投标人</w:t>
      </w:r>
      <w:r>
        <w:rPr>
          <w:sz w:val="24"/>
          <w:highlight w:val="none"/>
        </w:rPr>
        <w:t>名称：</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（盖章）</w:t>
      </w:r>
    </w:p>
    <w:p w14:paraId="06335961">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sz w:val="24"/>
          <w:highlight w:val="none"/>
        </w:rPr>
        <w:t>法定代表人（负责人）：</w:t>
      </w:r>
      <w:r>
        <w:rPr>
          <w:sz w:val="24"/>
          <w:highlight w:val="none"/>
          <w:u w:val="single"/>
        </w:rPr>
        <w:t xml:space="preserve">          </w:t>
      </w:r>
      <w:r>
        <w:rPr>
          <w:sz w:val="24"/>
          <w:highlight w:val="none"/>
        </w:rPr>
        <w:t xml:space="preserve">（签字或盖章）  </w:t>
      </w:r>
    </w:p>
    <w:p w14:paraId="6DCC9F2F">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sz w:val="24"/>
          <w:highlight w:val="none"/>
        </w:rPr>
        <w:t>日      期：</w:t>
      </w:r>
    </w:p>
    <w:p w14:paraId="30F26972">
      <w:pPr>
        <w:keepNext w:val="0"/>
        <w:keepLines w:val="0"/>
        <w:pageBreakBefore w:val="0"/>
        <w:widowControl w:val="0"/>
        <w:kinsoku/>
        <w:overflowPunct/>
        <w:topLinePunct/>
        <w:bidi w:val="0"/>
        <w:snapToGrid w:val="0"/>
        <w:spacing w:line="360" w:lineRule="auto"/>
        <w:ind w:firstLine="482"/>
        <w:rPr>
          <w:b/>
          <w:kern w:val="0"/>
          <w:sz w:val="24"/>
          <w:highlight w:val="none"/>
        </w:rPr>
      </w:pPr>
    </w:p>
    <w:p w14:paraId="4AB90D07">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r>
        <w:rPr>
          <w:b/>
          <w:kern w:val="0"/>
          <w:sz w:val="24"/>
          <w:highlight w:val="none"/>
        </w:rPr>
        <w:br w:type="page"/>
      </w:r>
      <w:bookmarkStart w:id="75" w:name="_Toc180347478"/>
      <w:r>
        <w:rPr>
          <w:rFonts w:ascii="宋体" w:hAnsi="宋体"/>
          <w:b/>
          <w:kern w:val="0"/>
          <w:sz w:val="24"/>
          <w:highlight w:val="none"/>
        </w:rPr>
        <w:t>3</w:t>
      </w:r>
      <w:r>
        <w:rPr>
          <w:rFonts w:hint="eastAsia" w:ascii="宋体" w:hAnsi="宋体"/>
          <w:b/>
          <w:kern w:val="0"/>
          <w:sz w:val="24"/>
          <w:highlight w:val="none"/>
        </w:rPr>
        <w:t>．</w:t>
      </w:r>
      <w:r>
        <w:rPr>
          <w:rFonts w:ascii="宋体" w:hAnsi="宋体"/>
          <w:b/>
          <w:kern w:val="0"/>
          <w:sz w:val="24"/>
          <w:highlight w:val="none"/>
        </w:rPr>
        <w:t>具有履行合同所必需的设备和专业技术能力的</w:t>
      </w:r>
      <w:r>
        <w:rPr>
          <w:rFonts w:hint="eastAsia" w:ascii="宋体" w:hAnsi="宋体"/>
          <w:b/>
          <w:kern w:val="0"/>
          <w:sz w:val="24"/>
          <w:highlight w:val="none"/>
        </w:rPr>
        <w:t>信用承诺书</w:t>
      </w:r>
      <w:bookmarkEnd w:id="75"/>
    </w:p>
    <w:p w14:paraId="6975B4B9">
      <w:pPr>
        <w:keepNext w:val="0"/>
        <w:keepLines w:val="0"/>
        <w:pageBreakBefore w:val="0"/>
        <w:widowControl w:val="0"/>
        <w:kinsoku/>
        <w:overflowPunct/>
        <w:topLinePunct/>
        <w:bidi w:val="0"/>
        <w:spacing w:line="330" w:lineRule="atLeast"/>
        <w:ind w:firstLine="420"/>
        <w:jc w:val="left"/>
        <w:rPr>
          <w:kern w:val="0"/>
          <w:szCs w:val="21"/>
          <w:highlight w:val="none"/>
        </w:rPr>
      </w:pPr>
    </w:p>
    <w:p w14:paraId="36F5D4F4">
      <w:pPr>
        <w:keepNext w:val="0"/>
        <w:keepLines w:val="0"/>
        <w:pageBreakBefore w:val="0"/>
        <w:widowControl w:val="0"/>
        <w:kinsoku/>
        <w:overflowPunct/>
        <w:topLinePunct/>
        <w:bidi w:val="0"/>
        <w:adjustRightInd w:val="0"/>
        <w:snapToGrid w:val="0"/>
        <w:spacing w:line="360" w:lineRule="auto"/>
        <w:ind w:firstLine="482"/>
        <w:jc w:val="center"/>
        <w:rPr>
          <w:b/>
          <w:kern w:val="0"/>
          <w:sz w:val="24"/>
          <w:highlight w:val="none"/>
        </w:rPr>
      </w:pPr>
      <w:r>
        <w:rPr>
          <w:rFonts w:hint="eastAsia"/>
          <w:b/>
          <w:kern w:val="0"/>
          <w:sz w:val="24"/>
          <w:highlight w:val="none"/>
          <w:lang w:val="en-US" w:eastAsia="zh-CN"/>
        </w:rPr>
        <w:t>供应商</w:t>
      </w:r>
      <w:r>
        <w:rPr>
          <w:rFonts w:hint="eastAsia"/>
          <w:b/>
          <w:kern w:val="0"/>
          <w:sz w:val="24"/>
          <w:highlight w:val="none"/>
        </w:rPr>
        <w:t>信用承诺书</w:t>
      </w:r>
    </w:p>
    <w:p w14:paraId="77D748C2">
      <w:pPr>
        <w:keepNext w:val="0"/>
        <w:keepLines w:val="0"/>
        <w:pageBreakBefore w:val="0"/>
        <w:widowControl w:val="0"/>
        <w:kinsoku/>
        <w:overflowPunct/>
        <w:topLinePunct/>
        <w:bidi w:val="0"/>
        <w:ind w:firstLine="480"/>
        <w:rPr>
          <w:sz w:val="24"/>
          <w:highlight w:val="none"/>
        </w:rPr>
      </w:pPr>
    </w:p>
    <w:p w14:paraId="65D8A95E">
      <w:pPr>
        <w:keepNext w:val="0"/>
        <w:keepLines w:val="0"/>
        <w:pageBreakBefore w:val="0"/>
        <w:widowControl w:val="0"/>
        <w:kinsoku/>
        <w:overflowPunct/>
        <w:topLinePunct/>
        <w:bidi w:val="0"/>
        <w:spacing w:line="330" w:lineRule="atLeast"/>
        <w:ind w:firstLine="420"/>
        <w:jc w:val="left"/>
        <w:rPr>
          <w:kern w:val="0"/>
          <w:szCs w:val="21"/>
          <w:highlight w:val="none"/>
        </w:rPr>
      </w:pPr>
    </w:p>
    <w:p w14:paraId="7C471BC1">
      <w:pPr>
        <w:keepNext w:val="0"/>
        <w:keepLines w:val="0"/>
        <w:pageBreakBefore w:val="0"/>
        <w:widowControl w:val="0"/>
        <w:kinsoku/>
        <w:overflowPunct/>
        <w:topLinePunct/>
        <w:bidi w:val="0"/>
        <w:adjustRightInd w:val="0"/>
        <w:snapToGrid w:val="0"/>
        <w:spacing w:line="360" w:lineRule="auto"/>
        <w:rPr>
          <w:sz w:val="24"/>
          <w:highlight w:val="none"/>
          <w:u w:val="single"/>
        </w:rPr>
      </w:pPr>
      <w:r>
        <w:rPr>
          <w:sz w:val="24"/>
          <w:highlight w:val="none"/>
          <w:u w:val="single"/>
        </w:rPr>
        <w:t xml:space="preserve">  </w:t>
      </w:r>
      <w:r>
        <w:rPr>
          <w:rFonts w:hint="eastAsia"/>
          <w:sz w:val="24"/>
          <w:highlight w:val="none"/>
          <w:u w:val="single"/>
          <w:lang w:val="en-US" w:eastAsia="zh-CN"/>
        </w:rPr>
        <w:t>（</w:t>
      </w:r>
      <w:r>
        <w:rPr>
          <w:sz w:val="24"/>
          <w:highlight w:val="none"/>
          <w:u w:val="single"/>
        </w:rPr>
        <w:t>采购代理机构名称</w:t>
      </w:r>
      <w:r>
        <w:rPr>
          <w:rFonts w:hint="eastAsia"/>
          <w:sz w:val="24"/>
          <w:highlight w:val="none"/>
          <w:u w:val="single"/>
          <w:lang w:val="en-US" w:eastAsia="zh-CN"/>
        </w:rPr>
        <w:t>）</w:t>
      </w:r>
      <w:r>
        <w:rPr>
          <w:sz w:val="24"/>
          <w:highlight w:val="none"/>
          <w:u w:val="single"/>
        </w:rPr>
        <w:t xml:space="preserve">  ：</w:t>
      </w:r>
    </w:p>
    <w:p w14:paraId="7B1EA7E6">
      <w:pPr>
        <w:keepNext w:val="0"/>
        <w:keepLines w:val="0"/>
        <w:pageBreakBefore w:val="0"/>
        <w:widowControl w:val="0"/>
        <w:kinsoku/>
        <w:overflowPunct/>
        <w:topLinePunct/>
        <w:bidi w:val="0"/>
        <w:adjustRightInd w:val="0"/>
        <w:snapToGrid w:val="0"/>
        <w:spacing w:line="360" w:lineRule="auto"/>
        <w:ind w:firstLine="420" w:firstLineChars="200"/>
        <w:rPr>
          <w:kern w:val="0"/>
          <w:szCs w:val="21"/>
          <w:highlight w:val="none"/>
        </w:rPr>
      </w:pPr>
    </w:p>
    <w:p w14:paraId="6B2BC6EE">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rFonts w:hint="eastAsia"/>
          <w:sz w:val="24"/>
          <w:highlight w:val="none"/>
        </w:rPr>
        <w:t>我单位</w:t>
      </w:r>
      <w:r>
        <w:rPr>
          <w:sz w:val="24"/>
          <w:highlight w:val="none"/>
        </w:rPr>
        <w:t>现参与贵公司组织的</w:t>
      </w:r>
      <w:r>
        <w:rPr>
          <w:sz w:val="24"/>
          <w:highlight w:val="none"/>
          <w:u w:val="single"/>
        </w:rPr>
        <w:t xml:space="preserve">              </w:t>
      </w:r>
      <w:r>
        <w:rPr>
          <w:sz w:val="24"/>
          <w:highlight w:val="none"/>
        </w:rPr>
        <w:t>项目（项目编号：</w:t>
      </w:r>
      <w:r>
        <w:rPr>
          <w:sz w:val="24"/>
          <w:highlight w:val="none"/>
          <w:u w:val="single"/>
        </w:rPr>
        <w:t xml:space="preserve">       </w:t>
      </w:r>
      <w:r>
        <w:rPr>
          <w:sz w:val="24"/>
          <w:highlight w:val="none"/>
        </w:rPr>
        <w:t>）的采购活动。依据</w:t>
      </w:r>
      <w:r>
        <w:rPr>
          <w:rFonts w:hint="eastAsia"/>
          <w:sz w:val="24"/>
          <w:highlight w:val="none"/>
        </w:rPr>
        <w:t>招标文件</w:t>
      </w:r>
      <w:r>
        <w:rPr>
          <w:sz w:val="24"/>
          <w:highlight w:val="none"/>
        </w:rPr>
        <w:t>相关规定，现郑重承诺：</w:t>
      </w:r>
    </w:p>
    <w:p w14:paraId="6D020B97">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我方具备《中华人民共和国政府采购法》</w:t>
      </w:r>
      <w:r>
        <w:rPr>
          <w:rFonts w:hint="eastAsia"/>
          <w:sz w:val="24"/>
          <w:highlight w:val="none"/>
        </w:rPr>
        <w:t>第二十二条规定的投标人参加政府采购活动应“</w:t>
      </w:r>
      <w:r>
        <w:rPr>
          <w:sz w:val="24"/>
          <w:highlight w:val="none"/>
        </w:rPr>
        <w:t>具有履行合同所必需的设备和专业技术能力</w:t>
      </w:r>
      <w:r>
        <w:rPr>
          <w:rFonts w:hint="eastAsia"/>
          <w:sz w:val="24"/>
          <w:highlight w:val="none"/>
        </w:rPr>
        <w:t>”的资格条件</w:t>
      </w:r>
      <w:r>
        <w:rPr>
          <w:sz w:val="24"/>
          <w:highlight w:val="none"/>
        </w:rPr>
        <w:t>，且具有《中华人民共和国政府采购法实施条例》第十七条中</w:t>
      </w:r>
      <w:r>
        <w:rPr>
          <w:rFonts w:hint="eastAsia"/>
          <w:sz w:val="24"/>
          <w:highlight w:val="none"/>
        </w:rPr>
        <w:t>规定投标人参加政府采购活动需提供“具备履行合同所必需的设备和专业技术能力的证明材料”</w:t>
      </w:r>
      <w:r>
        <w:rPr>
          <w:sz w:val="24"/>
          <w:highlight w:val="none"/>
        </w:rPr>
        <w:t>。</w:t>
      </w:r>
    </w:p>
    <w:p w14:paraId="412748BA">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以上承诺信息如有虚假或隐瞒，我方愿意承担一切后果，并不再寻求任何旨在减轻或免除</w:t>
      </w:r>
      <w:r>
        <w:rPr>
          <w:rFonts w:hint="eastAsia"/>
          <w:sz w:val="24"/>
          <w:highlight w:val="none"/>
        </w:rPr>
        <w:t>法律</w:t>
      </w:r>
      <w:r>
        <w:rPr>
          <w:sz w:val="24"/>
          <w:highlight w:val="none"/>
        </w:rPr>
        <w:t xml:space="preserve">责任的辩解。 </w:t>
      </w:r>
    </w:p>
    <w:p w14:paraId="06662F35">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p>
    <w:p w14:paraId="3FA28092">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特此承诺</w:t>
      </w:r>
      <w:r>
        <w:rPr>
          <w:rFonts w:hint="eastAsia"/>
          <w:sz w:val="24"/>
          <w:highlight w:val="none"/>
        </w:rPr>
        <w:t>。</w:t>
      </w:r>
    </w:p>
    <w:p w14:paraId="1AB5CA3A">
      <w:pPr>
        <w:keepNext w:val="0"/>
        <w:keepLines w:val="0"/>
        <w:pageBreakBefore w:val="0"/>
        <w:widowControl w:val="0"/>
        <w:kinsoku/>
        <w:overflowPunct/>
        <w:topLinePunct/>
        <w:bidi w:val="0"/>
        <w:ind w:firstLine="3369" w:firstLineChars="1404"/>
        <w:rPr>
          <w:sz w:val="24"/>
          <w:highlight w:val="none"/>
        </w:rPr>
      </w:pPr>
    </w:p>
    <w:p w14:paraId="18B863E2">
      <w:pPr>
        <w:keepNext w:val="0"/>
        <w:keepLines w:val="0"/>
        <w:pageBreakBefore w:val="0"/>
        <w:widowControl w:val="0"/>
        <w:kinsoku/>
        <w:overflowPunct/>
        <w:topLinePunct/>
        <w:bidi w:val="0"/>
        <w:ind w:firstLine="3369" w:firstLineChars="1404"/>
        <w:rPr>
          <w:sz w:val="24"/>
          <w:highlight w:val="none"/>
        </w:rPr>
      </w:pPr>
    </w:p>
    <w:p w14:paraId="0638C64D">
      <w:pPr>
        <w:keepNext w:val="0"/>
        <w:keepLines w:val="0"/>
        <w:pageBreakBefore w:val="0"/>
        <w:widowControl w:val="0"/>
        <w:kinsoku/>
        <w:overflowPunct/>
        <w:topLinePunct/>
        <w:bidi w:val="0"/>
        <w:ind w:firstLine="3369" w:firstLineChars="1404"/>
        <w:rPr>
          <w:sz w:val="24"/>
          <w:highlight w:val="none"/>
        </w:rPr>
      </w:pPr>
    </w:p>
    <w:p w14:paraId="1E9C10CF">
      <w:pPr>
        <w:keepNext w:val="0"/>
        <w:keepLines w:val="0"/>
        <w:pageBreakBefore w:val="0"/>
        <w:widowControl w:val="0"/>
        <w:kinsoku/>
        <w:overflowPunct/>
        <w:topLinePunct/>
        <w:bidi w:val="0"/>
        <w:spacing w:line="330" w:lineRule="atLeast"/>
        <w:ind w:firstLine="420"/>
        <w:jc w:val="left"/>
        <w:rPr>
          <w:kern w:val="0"/>
          <w:szCs w:val="21"/>
          <w:highlight w:val="none"/>
        </w:rPr>
      </w:pPr>
    </w:p>
    <w:p w14:paraId="5D0051C5">
      <w:pPr>
        <w:keepNext w:val="0"/>
        <w:keepLines w:val="0"/>
        <w:pageBreakBefore w:val="0"/>
        <w:widowControl w:val="0"/>
        <w:kinsoku/>
        <w:overflowPunct/>
        <w:topLinePunct/>
        <w:bidi w:val="0"/>
        <w:spacing w:line="330" w:lineRule="atLeast"/>
        <w:ind w:firstLine="420"/>
        <w:jc w:val="left"/>
        <w:rPr>
          <w:kern w:val="0"/>
          <w:szCs w:val="21"/>
          <w:highlight w:val="none"/>
        </w:rPr>
      </w:pPr>
    </w:p>
    <w:p w14:paraId="320FCE88">
      <w:pPr>
        <w:keepNext w:val="0"/>
        <w:keepLines w:val="0"/>
        <w:pageBreakBefore w:val="0"/>
        <w:widowControl w:val="0"/>
        <w:kinsoku/>
        <w:overflowPunct/>
        <w:topLinePunct/>
        <w:bidi w:val="0"/>
        <w:ind w:firstLine="3369" w:firstLineChars="1404"/>
        <w:rPr>
          <w:sz w:val="24"/>
          <w:highlight w:val="none"/>
        </w:rPr>
      </w:pPr>
    </w:p>
    <w:p w14:paraId="0D9346AE">
      <w:pPr>
        <w:keepNext w:val="0"/>
        <w:keepLines w:val="0"/>
        <w:pageBreakBefore w:val="0"/>
        <w:widowControl w:val="0"/>
        <w:kinsoku/>
        <w:overflowPunct/>
        <w:topLinePunct/>
        <w:bidi w:val="0"/>
        <w:ind w:firstLine="3369" w:firstLineChars="1404"/>
        <w:rPr>
          <w:sz w:val="24"/>
          <w:highlight w:val="none"/>
        </w:rPr>
      </w:pPr>
    </w:p>
    <w:p w14:paraId="1CFD77F3">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rFonts w:hint="eastAsia"/>
          <w:sz w:val="24"/>
          <w:highlight w:val="none"/>
        </w:rPr>
        <w:t>投标人</w:t>
      </w:r>
      <w:r>
        <w:rPr>
          <w:sz w:val="24"/>
          <w:highlight w:val="none"/>
        </w:rPr>
        <w:t>名称：</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（盖章）</w:t>
      </w:r>
    </w:p>
    <w:p w14:paraId="445A01F0">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sz w:val="24"/>
          <w:highlight w:val="none"/>
        </w:rPr>
        <w:t>法定代表人（负责人）：</w:t>
      </w:r>
      <w:r>
        <w:rPr>
          <w:sz w:val="24"/>
          <w:highlight w:val="none"/>
          <w:u w:val="single"/>
        </w:rPr>
        <w:t xml:space="preserve">          </w:t>
      </w:r>
      <w:r>
        <w:rPr>
          <w:sz w:val="24"/>
          <w:highlight w:val="none"/>
        </w:rPr>
        <w:t xml:space="preserve">（签字或盖章）  </w:t>
      </w:r>
    </w:p>
    <w:p w14:paraId="44B9665E">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sz w:val="24"/>
          <w:highlight w:val="none"/>
        </w:rPr>
        <w:t>日      期：</w:t>
      </w:r>
    </w:p>
    <w:p w14:paraId="576D4447">
      <w:pPr>
        <w:keepNext w:val="0"/>
        <w:keepLines w:val="0"/>
        <w:pageBreakBefore w:val="0"/>
        <w:widowControl w:val="0"/>
        <w:kinsoku/>
        <w:overflowPunct/>
        <w:topLinePunct/>
        <w:bidi w:val="0"/>
        <w:snapToGrid w:val="0"/>
        <w:spacing w:line="360" w:lineRule="auto"/>
        <w:ind w:firstLine="482"/>
        <w:rPr>
          <w:b/>
          <w:kern w:val="0"/>
          <w:sz w:val="24"/>
          <w:highlight w:val="none"/>
        </w:rPr>
      </w:pPr>
    </w:p>
    <w:p w14:paraId="503752BA">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r>
        <w:rPr>
          <w:b/>
          <w:kern w:val="0"/>
          <w:sz w:val="24"/>
          <w:highlight w:val="none"/>
        </w:rPr>
        <w:br w:type="page"/>
      </w:r>
      <w:bookmarkStart w:id="76" w:name="_Toc180347479"/>
      <w:r>
        <w:rPr>
          <w:rFonts w:ascii="宋体" w:hAnsi="宋体"/>
          <w:b/>
          <w:kern w:val="0"/>
          <w:sz w:val="24"/>
          <w:highlight w:val="none"/>
        </w:rPr>
        <w:t>4</w:t>
      </w:r>
      <w:r>
        <w:rPr>
          <w:rFonts w:hint="eastAsia" w:ascii="宋体" w:hAnsi="宋体"/>
          <w:b/>
          <w:kern w:val="0"/>
          <w:sz w:val="24"/>
          <w:highlight w:val="none"/>
        </w:rPr>
        <w:t>．</w:t>
      </w:r>
      <w:r>
        <w:rPr>
          <w:rFonts w:ascii="宋体" w:hAnsi="宋体"/>
          <w:b/>
          <w:kern w:val="0"/>
          <w:sz w:val="24"/>
          <w:highlight w:val="none"/>
        </w:rPr>
        <w:t>具有依法缴纳税收和社会保障资金的</w:t>
      </w:r>
      <w:r>
        <w:rPr>
          <w:rFonts w:hint="eastAsia" w:ascii="宋体" w:hAnsi="宋体"/>
          <w:b/>
          <w:kern w:val="0"/>
          <w:sz w:val="24"/>
          <w:highlight w:val="none"/>
        </w:rPr>
        <w:t>良好记录的信用承诺书</w:t>
      </w:r>
      <w:bookmarkEnd w:id="76"/>
    </w:p>
    <w:p w14:paraId="39503EF5">
      <w:pPr>
        <w:keepNext w:val="0"/>
        <w:keepLines w:val="0"/>
        <w:pageBreakBefore w:val="0"/>
        <w:widowControl w:val="0"/>
        <w:kinsoku/>
        <w:overflowPunct/>
        <w:topLinePunct/>
        <w:bidi w:val="0"/>
        <w:ind w:firstLine="482"/>
        <w:jc w:val="center"/>
        <w:rPr>
          <w:b/>
          <w:kern w:val="0"/>
          <w:sz w:val="24"/>
          <w:highlight w:val="none"/>
        </w:rPr>
      </w:pPr>
    </w:p>
    <w:p w14:paraId="60096DEB">
      <w:pPr>
        <w:keepNext w:val="0"/>
        <w:keepLines w:val="0"/>
        <w:pageBreakBefore w:val="0"/>
        <w:widowControl w:val="0"/>
        <w:kinsoku/>
        <w:overflowPunct/>
        <w:topLinePunct/>
        <w:bidi w:val="0"/>
        <w:adjustRightInd w:val="0"/>
        <w:snapToGrid w:val="0"/>
        <w:spacing w:line="360" w:lineRule="auto"/>
        <w:ind w:firstLine="482"/>
        <w:jc w:val="center"/>
        <w:rPr>
          <w:b/>
          <w:kern w:val="0"/>
          <w:sz w:val="24"/>
          <w:highlight w:val="none"/>
        </w:rPr>
      </w:pPr>
      <w:r>
        <w:rPr>
          <w:rFonts w:hint="eastAsia"/>
          <w:b/>
          <w:kern w:val="0"/>
          <w:sz w:val="24"/>
          <w:highlight w:val="none"/>
          <w:lang w:val="en-US" w:eastAsia="zh-CN"/>
        </w:rPr>
        <w:t>供应商</w:t>
      </w:r>
      <w:r>
        <w:rPr>
          <w:rFonts w:hint="eastAsia"/>
          <w:b/>
          <w:kern w:val="0"/>
          <w:sz w:val="24"/>
          <w:highlight w:val="none"/>
        </w:rPr>
        <w:t>信用承诺书</w:t>
      </w:r>
    </w:p>
    <w:p w14:paraId="745CD332">
      <w:pPr>
        <w:keepNext w:val="0"/>
        <w:keepLines w:val="0"/>
        <w:pageBreakBefore w:val="0"/>
        <w:widowControl w:val="0"/>
        <w:kinsoku/>
        <w:overflowPunct/>
        <w:topLinePunct/>
        <w:bidi w:val="0"/>
        <w:ind w:firstLine="420"/>
        <w:rPr>
          <w:highlight w:val="none"/>
        </w:rPr>
      </w:pPr>
    </w:p>
    <w:p w14:paraId="0A97467B">
      <w:pPr>
        <w:keepNext w:val="0"/>
        <w:keepLines w:val="0"/>
        <w:pageBreakBefore w:val="0"/>
        <w:widowControl w:val="0"/>
        <w:kinsoku/>
        <w:overflowPunct/>
        <w:topLinePunct/>
        <w:bidi w:val="0"/>
        <w:adjustRightInd w:val="0"/>
        <w:snapToGrid w:val="0"/>
        <w:spacing w:line="360" w:lineRule="auto"/>
        <w:rPr>
          <w:sz w:val="24"/>
          <w:highlight w:val="none"/>
          <w:u w:val="single"/>
        </w:rPr>
      </w:pPr>
      <w:r>
        <w:rPr>
          <w:sz w:val="24"/>
          <w:highlight w:val="none"/>
          <w:u w:val="single"/>
        </w:rPr>
        <w:t xml:space="preserve">  </w:t>
      </w:r>
      <w:r>
        <w:rPr>
          <w:rFonts w:hint="eastAsia"/>
          <w:sz w:val="24"/>
          <w:highlight w:val="none"/>
          <w:u w:val="single"/>
          <w:lang w:val="en-US" w:eastAsia="zh-CN"/>
        </w:rPr>
        <w:t>（</w:t>
      </w:r>
      <w:r>
        <w:rPr>
          <w:sz w:val="24"/>
          <w:highlight w:val="none"/>
          <w:u w:val="single"/>
        </w:rPr>
        <w:t>采购代理机构名称</w:t>
      </w:r>
      <w:r>
        <w:rPr>
          <w:rFonts w:hint="eastAsia"/>
          <w:sz w:val="24"/>
          <w:highlight w:val="none"/>
          <w:u w:val="single"/>
          <w:lang w:val="en-US" w:eastAsia="zh-CN"/>
        </w:rPr>
        <w:t>）</w:t>
      </w:r>
      <w:r>
        <w:rPr>
          <w:sz w:val="24"/>
          <w:highlight w:val="none"/>
          <w:u w:val="single"/>
        </w:rPr>
        <w:t xml:space="preserve">  ：</w:t>
      </w:r>
    </w:p>
    <w:p w14:paraId="54F0AAEC">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p>
    <w:p w14:paraId="2EF86371">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rFonts w:hint="eastAsia"/>
          <w:sz w:val="24"/>
          <w:highlight w:val="none"/>
        </w:rPr>
        <w:t>我公司</w:t>
      </w:r>
      <w:r>
        <w:rPr>
          <w:sz w:val="24"/>
          <w:highlight w:val="none"/>
        </w:rPr>
        <w:t>现参与贵公司组织的</w:t>
      </w:r>
      <w:r>
        <w:rPr>
          <w:sz w:val="24"/>
          <w:highlight w:val="none"/>
          <w:u w:val="single"/>
        </w:rPr>
        <w:t xml:space="preserve">              </w:t>
      </w:r>
      <w:r>
        <w:rPr>
          <w:sz w:val="24"/>
          <w:highlight w:val="none"/>
        </w:rPr>
        <w:t>项目（项目编号：</w:t>
      </w:r>
      <w:r>
        <w:rPr>
          <w:sz w:val="24"/>
          <w:highlight w:val="none"/>
          <w:u w:val="single"/>
        </w:rPr>
        <w:t xml:space="preserve">        </w:t>
      </w:r>
      <w:r>
        <w:rPr>
          <w:sz w:val="24"/>
          <w:highlight w:val="none"/>
        </w:rPr>
        <w:t>）的采购活动。依据</w:t>
      </w:r>
      <w:r>
        <w:rPr>
          <w:rFonts w:hint="eastAsia"/>
          <w:sz w:val="24"/>
          <w:highlight w:val="none"/>
        </w:rPr>
        <w:t>招标文件</w:t>
      </w:r>
      <w:r>
        <w:rPr>
          <w:sz w:val="24"/>
          <w:highlight w:val="none"/>
        </w:rPr>
        <w:t>相关规定，现郑重承诺：</w:t>
      </w:r>
    </w:p>
    <w:p w14:paraId="4D21FCE3">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我方具备《中华人民共和国政府采购法》</w:t>
      </w:r>
      <w:r>
        <w:rPr>
          <w:rFonts w:hint="eastAsia"/>
          <w:sz w:val="24"/>
          <w:highlight w:val="none"/>
        </w:rPr>
        <w:t>第二十二条规定的投标人参加政府采购活动应“</w:t>
      </w:r>
      <w:r>
        <w:rPr>
          <w:sz w:val="24"/>
          <w:highlight w:val="none"/>
        </w:rPr>
        <w:t>有依法缴纳税收和社会保障资金的良好记录</w:t>
      </w:r>
      <w:r>
        <w:rPr>
          <w:rFonts w:hint="eastAsia"/>
          <w:sz w:val="24"/>
          <w:highlight w:val="none"/>
        </w:rPr>
        <w:t>”</w:t>
      </w:r>
      <w:r>
        <w:rPr>
          <w:sz w:val="24"/>
          <w:highlight w:val="none"/>
        </w:rPr>
        <w:t>，且具有《中华人民共和国政府采购法实施条例》第十七条中规定的</w:t>
      </w:r>
      <w:r>
        <w:rPr>
          <w:rFonts w:hint="eastAsia"/>
          <w:sz w:val="24"/>
          <w:highlight w:val="none"/>
        </w:rPr>
        <w:t>参加政府采购活动需提供的“依法缴纳税收和社会保障资金的相关材料”。</w:t>
      </w:r>
    </w:p>
    <w:p w14:paraId="4FB73C11">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我方在参加本次采购活动前严格依法缴纳税收或依法享受国家免税优惠政策，并依法给单位职工缴纳社会保障金或依法不需要缴纳社会保障资金的证明文件。</w:t>
      </w:r>
    </w:p>
    <w:p w14:paraId="1C5029A5">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以上承诺信息如有虚假或隐瞒，我方愿意承担一切后果，并不再寻求任何旨在减轻或免除</w:t>
      </w:r>
      <w:r>
        <w:rPr>
          <w:rFonts w:hint="eastAsia"/>
          <w:sz w:val="24"/>
          <w:highlight w:val="none"/>
        </w:rPr>
        <w:t>法律</w:t>
      </w:r>
      <w:r>
        <w:rPr>
          <w:sz w:val="24"/>
          <w:highlight w:val="none"/>
        </w:rPr>
        <w:t xml:space="preserve">责任的辩解。 </w:t>
      </w:r>
    </w:p>
    <w:p w14:paraId="043CD6DE">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 xml:space="preserve"> </w:t>
      </w:r>
    </w:p>
    <w:p w14:paraId="53DD031D">
      <w:pPr>
        <w:keepNext w:val="0"/>
        <w:keepLines w:val="0"/>
        <w:pageBreakBefore w:val="0"/>
        <w:widowControl w:val="0"/>
        <w:kinsoku/>
        <w:overflowPunct/>
        <w:topLinePunct/>
        <w:bidi w:val="0"/>
        <w:adjustRightInd w:val="0"/>
        <w:snapToGrid w:val="0"/>
        <w:spacing w:line="360" w:lineRule="auto"/>
        <w:ind w:firstLine="480" w:firstLineChars="200"/>
        <w:rPr>
          <w:highlight w:val="none"/>
        </w:rPr>
      </w:pPr>
      <w:r>
        <w:rPr>
          <w:sz w:val="24"/>
          <w:highlight w:val="none"/>
        </w:rPr>
        <w:t>特此承诺。</w:t>
      </w:r>
    </w:p>
    <w:p w14:paraId="5CEDB6B6">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p>
    <w:p w14:paraId="47B1BF84">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p>
    <w:p w14:paraId="3833C83E">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rFonts w:hint="eastAsia"/>
          <w:sz w:val="24"/>
          <w:highlight w:val="none"/>
        </w:rPr>
        <w:t>投标人</w:t>
      </w:r>
      <w:r>
        <w:rPr>
          <w:sz w:val="24"/>
          <w:highlight w:val="none"/>
        </w:rPr>
        <w:t>名称：</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（盖章）</w:t>
      </w:r>
    </w:p>
    <w:p w14:paraId="449E9469">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sz w:val="24"/>
          <w:highlight w:val="none"/>
        </w:rPr>
        <w:t>法定代表人（负责人）：</w:t>
      </w:r>
      <w:r>
        <w:rPr>
          <w:sz w:val="24"/>
          <w:highlight w:val="none"/>
          <w:u w:val="single"/>
        </w:rPr>
        <w:t xml:space="preserve">          </w:t>
      </w:r>
      <w:r>
        <w:rPr>
          <w:sz w:val="24"/>
          <w:highlight w:val="none"/>
        </w:rPr>
        <w:t xml:space="preserve">（签字或盖章）  </w:t>
      </w:r>
    </w:p>
    <w:p w14:paraId="72751E27">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sz w:val="24"/>
          <w:highlight w:val="none"/>
        </w:rPr>
        <w:t>日      期：</w:t>
      </w:r>
    </w:p>
    <w:p w14:paraId="41971C4D">
      <w:pPr>
        <w:keepNext w:val="0"/>
        <w:keepLines w:val="0"/>
        <w:pageBreakBefore w:val="0"/>
        <w:widowControl w:val="0"/>
        <w:kinsoku/>
        <w:overflowPunct/>
        <w:topLinePunct/>
        <w:bidi w:val="0"/>
        <w:spacing w:line="480" w:lineRule="exact"/>
        <w:ind w:firstLine="480"/>
        <w:rPr>
          <w:sz w:val="24"/>
          <w:highlight w:val="none"/>
        </w:rPr>
      </w:pPr>
    </w:p>
    <w:p w14:paraId="37938D4C">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r>
        <w:rPr>
          <w:b/>
          <w:kern w:val="0"/>
          <w:sz w:val="24"/>
          <w:highlight w:val="none"/>
        </w:rPr>
        <w:br w:type="page"/>
      </w:r>
      <w:bookmarkStart w:id="77" w:name="_Toc180347480"/>
      <w:r>
        <w:rPr>
          <w:rFonts w:ascii="宋体" w:hAnsi="宋体"/>
          <w:b/>
          <w:kern w:val="0"/>
          <w:sz w:val="24"/>
          <w:highlight w:val="none"/>
        </w:rPr>
        <w:t>5．参加本次采购活动前三年内，在经营活动中没有重大违法记录</w:t>
      </w:r>
      <w:r>
        <w:rPr>
          <w:rFonts w:hint="eastAsia" w:ascii="宋体" w:hAnsi="宋体"/>
          <w:b/>
          <w:kern w:val="0"/>
          <w:sz w:val="24"/>
          <w:highlight w:val="none"/>
        </w:rPr>
        <w:t>的信用承诺书</w:t>
      </w:r>
      <w:bookmarkEnd w:id="77"/>
    </w:p>
    <w:p w14:paraId="596E0EC9">
      <w:pPr>
        <w:keepNext w:val="0"/>
        <w:keepLines w:val="0"/>
        <w:pageBreakBefore w:val="0"/>
        <w:widowControl w:val="0"/>
        <w:kinsoku/>
        <w:overflowPunct/>
        <w:topLinePunct/>
        <w:bidi w:val="0"/>
        <w:ind w:firstLine="482"/>
        <w:jc w:val="center"/>
        <w:rPr>
          <w:b/>
          <w:sz w:val="24"/>
          <w:highlight w:val="none"/>
        </w:rPr>
      </w:pPr>
    </w:p>
    <w:p w14:paraId="7C77A29F">
      <w:pPr>
        <w:keepNext w:val="0"/>
        <w:keepLines w:val="0"/>
        <w:pageBreakBefore w:val="0"/>
        <w:widowControl w:val="0"/>
        <w:kinsoku/>
        <w:overflowPunct/>
        <w:topLinePunct/>
        <w:bidi w:val="0"/>
        <w:adjustRightInd w:val="0"/>
        <w:snapToGrid w:val="0"/>
        <w:spacing w:line="360" w:lineRule="auto"/>
        <w:ind w:firstLine="482"/>
        <w:jc w:val="center"/>
        <w:rPr>
          <w:b/>
          <w:kern w:val="0"/>
          <w:sz w:val="24"/>
          <w:highlight w:val="none"/>
        </w:rPr>
      </w:pPr>
      <w:r>
        <w:rPr>
          <w:rFonts w:hint="eastAsia"/>
          <w:b/>
          <w:kern w:val="0"/>
          <w:sz w:val="24"/>
          <w:highlight w:val="none"/>
          <w:lang w:val="en-US" w:eastAsia="zh-CN"/>
        </w:rPr>
        <w:t>供应商</w:t>
      </w:r>
      <w:r>
        <w:rPr>
          <w:rFonts w:hint="eastAsia"/>
          <w:b/>
          <w:kern w:val="0"/>
          <w:sz w:val="24"/>
          <w:highlight w:val="none"/>
        </w:rPr>
        <w:t>信用承诺书</w:t>
      </w:r>
    </w:p>
    <w:p w14:paraId="43866ED5">
      <w:pPr>
        <w:keepNext w:val="0"/>
        <w:keepLines w:val="0"/>
        <w:pageBreakBefore w:val="0"/>
        <w:widowControl w:val="0"/>
        <w:kinsoku/>
        <w:overflowPunct/>
        <w:topLinePunct/>
        <w:bidi w:val="0"/>
        <w:spacing w:line="330" w:lineRule="atLeast"/>
        <w:ind w:firstLine="420"/>
        <w:jc w:val="left"/>
        <w:rPr>
          <w:kern w:val="0"/>
          <w:szCs w:val="21"/>
          <w:highlight w:val="none"/>
        </w:rPr>
      </w:pPr>
    </w:p>
    <w:p w14:paraId="009E74BA">
      <w:pPr>
        <w:keepNext w:val="0"/>
        <w:keepLines w:val="0"/>
        <w:pageBreakBefore w:val="0"/>
        <w:widowControl w:val="0"/>
        <w:kinsoku/>
        <w:overflowPunct/>
        <w:topLinePunct/>
        <w:bidi w:val="0"/>
        <w:adjustRightInd w:val="0"/>
        <w:snapToGrid w:val="0"/>
        <w:spacing w:line="360" w:lineRule="auto"/>
        <w:rPr>
          <w:rFonts w:ascii="宋体" w:hAnsi="宋体"/>
          <w:sz w:val="24"/>
          <w:highlight w:val="none"/>
          <w:u w:val="single"/>
        </w:rPr>
      </w:pPr>
      <w:r>
        <w:rPr>
          <w:rFonts w:ascii="宋体" w:hAnsi="宋体"/>
          <w:sz w:val="24"/>
          <w:highlight w:val="none"/>
          <w:u w:val="single"/>
        </w:rPr>
        <w:t xml:space="preserve">  </w:t>
      </w:r>
      <w:r>
        <w:rPr>
          <w:rFonts w:hint="eastAsia"/>
          <w:sz w:val="24"/>
          <w:highlight w:val="none"/>
          <w:u w:val="single"/>
          <w:lang w:val="en-US" w:eastAsia="zh-CN"/>
        </w:rPr>
        <w:t>（</w:t>
      </w:r>
      <w:r>
        <w:rPr>
          <w:sz w:val="24"/>
          <w:highlight w:val="none"/>
          <w:u w:val="single"/>
        </w:rPr>
        <w:t>采购代理机构名称</w:t>
      </w:r>
      <w:r>
        <w:rPr>
          <w:rFonts w:hint="eastAsia"/>
          <w:sz w:val="24"/>
          <w:highlight w:val="none"/>
          <w:u w:val="single"/>
          <w:lang w:val="en-US" w:eastAsia="zh-CN"/>
        </w:rPr>
        <w:t>）</w:t>
      </w:r>
      <w:r>
        <w:rPr>
          <w:rFonts w:ascii="宋体" w:hAnsi="宋体"/>
          <w:sz w:val="24"/>
          <w:highlight w:val="none"/>
          <w:u w:val="single"/>
        </w:rPr>
        <w:t xml:space="preserve">  ：</w:t>
      </w:r>
    </w:p>
    <w:p w14:paraId="7F47ACB5">
      <w:pPr>
        <w:keepNext w:val="0"/>
        <w:keepLines w:val="0"/>
        <w:pageBreakBefore w:val="0"/>
        <w:widowControl w:val="0"/>
        <w:kinsoku/>
        <w:overflowPunct/>
        <w:topLinePunct/>
        <w:bidi w:val="0"/>
        <w:adjustRightInd w:val="0"/>
        <w:snapToGrid w:val="0"/>
        <w:spacing w:line="360" w:lineRule="auto"/>
        <w:ind w:firstLine="420" w:firstLineChars="200"/>
        <w:jc w:val="left"/>
        <w:rPr>
          <w:rFonts w:ascii="宋体" w:hAnsi="宋体"/>
          <w:highlight w:val="none"/>
        </w:rPr>
      </w:pPr>
    </w:p>
    <w:p w14:paraId="380C86B6">
      <w:pPr>
        <w:keepNext w:val="0"/>
        <w:keepLines w:val="0"/>
        <w:pageBreakBefore w:val="0"/>
        <w:widowControl w:val="0"/>
        <w:kinsoku/>
        <w:overflowPunct/>
        <w:topLinePunct/>
        <w:bidi w:val="0"/>
        <w:adjustRightInd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我单位</w:t>
      </w:r>
      <w:r>
        <w:rPr>
          <w:rFonts w:ascii="宋体" w:hAnsi="宋体"/>
          <w:sz w:val="24"/>
          <w:highlight w:val="none"/>
        </w:rPr>
        <w:t>现参与贵公司组织的</w:t>
      </w:r>
      <w:r>
        <w:rPr>
          <w:rFonts w:ascii="宋体" w:hAnsi="宋体"/>
          <w:sz w:val="24"/>
          <w:highlight w:val="none"/>
          <w:u w:val="single"/>
        </w:rPr>
        <w:t xml:space="preserve">            </w:t>
      </w:r>
      <w:r>
        <w:rPr>
          <w:rFonts w:ascii="宋体" w:hAnsi="宋体"/>
          <w:sz w:val="24"/>
          <w:highlight w:val="none"/>
        </w:rPr>
        <w:t>项目（项目编号：</w:t>
      </w:r>
      <w:r>
        <w:rPr>
          <w:rFonts w:ascii="宋体" w:hAnsi="宋体"/>
          <w:sz w:val="24"/>
          <w:highlight w:val="none"/>
          <w:u w:val="single"/>
        </w:rPr>
        <w:t xml:space="preserve">       </w:t>
      </w:r>
      <w:r>
        <w:rPr>
          <w:rFonts w:ascii="宋体" w:hAnsi="宋体"/>
          <w:sz w:val="24"/>
          <w:szCs w:val="28"/>
          <w:highlight w:val="none"/>
          <w:u w:val="single"/>
        </w:rPr>
        <w:t xml:space="preserve"> </w:t>
      </w:r>
      <w:r>
        <w:rPr>
          <w:rFonts w:ascii="宋体" w:hAnsi="宋体"/>
          <w:sz w:val="24"/>
          <w:highlight w:val="none"/>
        </w:rPr>
        <w:t>）的采购活动。依据</w:t>
      </w:r>
      <w:r>
        <w:rPr>
          <w:rFonts w:hint="eastAsia" w:ascii="宋体" w:hAnsi="宋体"/>
          <w:sz w:val="24"/>
          <w:szCs w:val="28"/>
          <w:highlight w:val="none"/>
        </w:rPr>
        <w:t>招标文件</w:t>
      </w:r>
      <w:r>
        <w:rPr>
          <w:rFonts w:ascii="宋体" w:hAnsi="宋体"/>
          <w:sz w:val="24"/>
          <w:highlight w:val="none"/>
        </w:rPr>
        <w:t>相关规定，现郑重</w:t>
      </w:r>
      <w:r>
        <w:rPr>
          <w:rFonts w:hint="eastAsia" w:ascii="宋体" w:hAnsi="宋体"/>
          <w:sz w:val="24"/>
          <w:highlight w:val="none"/>
        </w:rPr>
        <w:t>承诺</w:t>
      </w:r>
      <w:r>
        <w:rPr>
          <w:rFonts w:ascii="宋体" w:hAnsi="宋体"/>
          <w:sz w:val="24"/>
          <w:highlight w:val="none"/>
        </w:rPr>
        <w:t>：</w:t>
      </w:r>
    </w:p>
    <w:p w14:paraId="526165AA">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我单位在参加本次采购活动前3年内，在经营活动中没有</w:t>
      </w:r>
      <w:r>
        <w:rPr>
          <w:rFonts w:ascii="宋体" w:hAnsi="宋体"/>
          <w:sz w:val="24"/>
          <w:highlight w:val="none"/>
        </w:rPr>
        <w:t>因违法经营受到刑事处罚或者责令停产停业、吊销许可证或者执照、较大数额罚款等行政处罚</w:t>
      </w:r>
      <w:r>
        <w:rPr>
          <w:rFonts w:hint="eastAsia" w:ascii="宋体" w:hAnsi="宋体"/>
          <w:sz w:val="24"/>
          <w:highlight w:val="none"/>
        </w:rPr>
        <w:t>的重大违法记录。经查证，</w:t>
      </w:r>
      <w:r>
        <w:rPr>
          <w:rFonts w:ascii="宋体" w:hAnsi="宋体"/>
          <w:sz w:val="24"/>
          <w:highlight w:val="none"/>
        </w:rPr>
        <w:t>在信用中国网（http：//www.creditchina.gov.cn）的信用信息中失信被执行人、重大税收违法案件当事人名单均为0记录；在中国政府采购网（http：//www.ccgp.gov.cn）中的政府采购严重违法失信行为信息记录为0记录。</w:t>
      </w:r>
    </w:p>
    <w:p w14:paraId="3565AC89">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sz w:val="24"/>
          <w:highlight w:val="none"/>
        </w:rPr>
      </w:pPr>
      <w:r>
        <w:rPr>
          <w:rFonts w:ascii="宋体" w:hAnsi="宋体"/>
          <w:sz w:val="24"/>
          <w:highlight w:val="none"/>
        </w:rPr>
        <w:t>以上承诺信息如有虚假或隐瞒，我方愿意承担一切后果，并不再寻求任何旨在减轻或免除</w:t>
      </w:r>
      <w:r>
        <w:rPr>
          <w:rFonts w:hint="eastAsia" w:ascii="宋体" w:hAnsi="宋体"/>
          <w:sz w:val="24"/>
          <w:highlight w:val="none"/>
        </w:rPr>
        <w:t>法律</w:t>
      </w:r>
      <w:r>
        <w:rPr>
          <w:rFonts w:ascii="宋体" w:hAnsi="宋体"/>
          <w:sz w:val="24"/>
          <w:highlight w:val="none"/>
        </w:rPr>
        <w:t xml:space="preserve">责任的辩解。 </w:t>
      </w:r>
    </w:p>
    <w:p w14:paraId="3019DF0C">
      <w:pPr>
        <w:keepNext w:val="0"/>
        <w:keepLines w:val="0"/>
        <w:pageBreakBefore w:val="0"/>
        <w:widowControl w:val="0"/>
        <w:kinsoku/>
        <w:overflowPunct/>
        <w:topLinePunct/>
        <w:bidi w:val="0"/>
        <w:adjustRightInd w:val="0"/>
        <w:snapToGrid w:val="0"/>
        <w:spacing w:line="360" w:lineRule="auto"/>
        <w:ind w:firstLine="480" w:firstLineChars="200"/>
        <w:jc w:val="left"/>
        <w:rPr>
          <w:rFonts w:ascii="宋体" w:hAnsi="宋体"/>
          <w:sz w:val="24"/>
          <w:highlight w:val="none"/>
        </w:rPr>
      </w:pPr>
    </w:p>
    <w:p w14:paraId="49FBA361">
      <w:pPr>
        <w:keepNext w:val="0"/>
        <w:keepLines w:val="0"/>
        <w:pageBreakBefore w:val="0"/>
        <w:widowControl w:val="0"/>
        <w:kinsoku/>
        <w:overflowPunct/>
        <w:topLinePunct/>
        <w:bidi w:val="0"/>
        <w:adjustRightInd w:val="0"/>
        <w:snapToGrid w:val="0"/>
        <w:spacing w:line="360" w:lineRule="auto"/>
        <w:ind w:firstLine="480" w:firstLineChars="200"/>
        <w:jc w:val="left"/>
        <w:rPr>
          <w:rFonts w:ascii="宋体" w:hAnsi="宋体"/>
          <w:sz w:val="24"/>
          <w:highlight w:val="none"/>
        </w:rPr>
      </w:pPr>
      <w:r>
        <w:rPr>
          <w:rFonts w:ascii="宋体" w:hAnsi="宋体"/>
          <w:sz w:val="24"/>
          <w:highlight w:val="none"/>
        </w:rPr>
        <w:t>特此承诺</w:t>
      </w:r>
      <w:r>
        <w:rPr>
          <w:rFonts w:hint="eastAsia" w:ascii="宋体" w:hAnsi="宋体"/>
          <w:sz w:val="24"/>
          <w:highlight w:val="none"/>
        </w:rPr>
        <w:t>。</w:t>
      </w:r>
    </w:p>
    <w:p w14:paraId="3E07F2B8">
      <w:pPr>
        <w:keepNext w:val="0"/>
        <w:keepLines w:val="0"/>
        <w:pageBreakBefore w:val="0"/>
        <w:widowControl w:val="0"/>
        <w:kinsoku/>
        <w:overflowPunct/>
        <w:topLinePunct/>
        <w:bidi w:val="0"/>
        <w:adjustRightInd w:val="0"/>
        <w:snapToGrid w:val="0"/>
        <w:spacing w:line="360" w:lineRule="auto"/>
        <w:ind w:firstLine="480" w:firstLineChars="200"/>
        <w:jc w:val="center"/>
        <w:rPr>
          <w:rFonts w:ascii="宋体" w:hAnsi="宋体"/>
          <w:sz w:val="24"/>
          <w:highlight w:val="none"/>
        </w:rPr>
      </w:pPr>
    </w:p>
    <w:p w14:paraId="1FA391D7">
      <w:pPr>
        <w:keepNext w:val="0"/>
        <w:keepLines w:val="0"/>
        <w:pageBreakBefore w:val="0"/>
        <w:widowControl w:val="0"/>
        <w:kinsoku/>
        <w:overflowPunct/>
        <w:topLinePunct/>
        <w:bidi w:val="0"/>
        <w:adjustRightInd w:val="0"/>
        <w:snapToGrid w:val="0"/>
        <w:spacing w:line="360" w:lineRule="auto"/>
        <w:ind w:firstLine="480" w:firstLineChars="200"/>
        <w:jc w:val="center"/>
        <w:rPr>
          <w:rFonts w:ascii="宋体" w:hAnsi="宋体"/>
          <w:sz w:val="24"/>
          <w:highlight w:val="none"/>
        </w:rPr>
      </w:pPr>
    </w:p>
    <w:p w14:paraId="2E95F619">
      <w:pPr>
        <w:keepNext w:val="0"/>
        <w:keepLines w:val="0"/>
        <w:pageBreakBefore w:val="0"/>
        <w:widowControl w:val="0"/>
        <w:kinsoku/>
        <w:overflowPunct/>
        <w:topLinePunct/>
        <w:bidi w:val="0"/>
        <w:adjustRightInd w:val="0"/>
        <w:snapToGrid w:val="0"/>
        <w:spacing w:line="360" w:lineRule="auto"/>
        <w:ind w:firstLine="480" w:firstLineChars="200"/>
        <w:jc w:val="center"/>
        <w:rPr>
          <w:rFonts w:ascii="宋体" w:hAnsi="宋体"/>
          <w:sz w:val="24"/>
          <w:highlight w:val="none"/>
        </w:rPr>
      </w:pPr>
    </w:p>
    <w:p w14:paraId="54F61FB2">
      <w:pPr>
        <w:keepNext w:val="0"/>
        <w:keepLines w:val="0"/>
        <w:pageBreakBefore w:val="0"/>
        <w:widowControl w:val="0"/>
        <w:kinsoku/>
        <w:overflowPunct/>
        <w:topLinePunct/>
        <w:bidi w:val="0"/>
        <w:adjustRightInd w:val="0"/>
        <w:snapToGrid w:val="0"/>
        <w:spacing w:line="360" w:lineRule="auto"/>
        <w:ind w:firstLine="480" w:firstLineChars="200"/>
        <w:jc w:val="center"/>
        <w:rPr>
          <w:rFonts w:ascii="宋体" w:hAnsi="宋体"/>
          <w:sz w:val="24"/>
          <w:highlight w:val="none"/>
        </w:rPr>
      </w:pPr>
    </w:p>
    <w:p w14:paraId="16C9555F">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sz w:val="24"/>
          <w:highlight w:val="none"/>
        </w:rPr>
      </w:pPr>
      <w:r>
        <w:rPr>
          <w:rFonts w:hint="eastAsia" w:ascii="宋体" w:hAnsi="宋体"/>
          <w:sz w:val="24"/>
          <w:highlight w:val="none"/>
        </w:rPr>
        <w:t>投标人</w:t>
      </w:r>
      <w:r>
        <w:rPr>
          <w:rFonts w:ascii="宋体" w:hAnsi="宋体"/>
          <w:sz w:val="24"/>
          <w:highlight w:val="none"/>
        </w:rPr>
        <w:t>名称：</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（盖章）</w:t>
      </w:r>
    </w:p>
    <w:p w14:paraId="1B60D60A">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highlight w:val="none"/>
        </w:rPr>
      </w:pPr>
      <w:r>
        <w:rPr>
          <w:rFonts w:ascii="宋体" w:hAnsi="宋体"/>
          <w:sz w:val="24"/>
          <w:highlight w:val="none"/>
        </w:rPr>
        <w:t>法定代表人（负责人）：</w:t>
      </w:r>
      <w:r>
        <w:rPr>
          <w:rFonts w:ascii="宋体" w:hAnsi="宋体"/>
          <w:sz w:val="24"/>
          <w:highlight w:val="none"/>
          <w:u w:val="single"/>
        </w:rPr>
        <w:t xml:space="preserve">          </w:t>
      </w:r>
      <w:r>
        <w:rPr>
          <w:rFonts w:ascii="宋体" w:hAnsi="宋体"/>
          <w:sz w:val="24"/>
          <w:highlight w:val="none"/>
        </w:rPr>
        <w:t>（签字或盖章）</w:t>
      </w:r>
    </w:p>
    <w:p w14:paraId="71E0B951">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sz w:val="24"/>
          <w:highlight w:val="none"/>
        </w:rPr>
      </w:pPr>
      <w:r>
        <w:rPr>
          <w:rFonts w:ascii="宋体" w:hAnsi="宋体"/>
          <w:sz w:val="24"/>
          <w:highlight w:val="none"/>
        </w:rPr>
        <w:t>日      期：</w:t>
      </w:r>
    </w:p>
    <w:p w14:paraId="1FE82DB7">
      <w:pPr>
        <w:keepNext w:val="0"/>
        <w:keepLines w:val="0"/>
        <w:pageBreakBefore w:val="0"/>
        <w:widowControl w:val="0"/>
        <w:kinsoku/>
        <w:overflowPunct/>
        <w:topLinePunct/>
        <w:bidi w:val="0"/>
        <w:snapToGrid w:val="0"/>
        <w:spacing w:line="360" w:lineRule="auto"/>
        <w:ind w:firstLine="480"/>
        <w:rPr>
          <w:sz w:val="24"/>
          <w:highlight w:val="none"/>
        </w:rPr>
      </w:pPr>
    </w:p>
    <w:p w14:paraId="168D758B">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r>
        <w:rPr>
          <w:kern w:val="0"/>
          <w:szCs w:val="21"/>
          <w:highlight w:val="none"/>
        </w:rPr>
        <w:br w:type="page"/>
      </w:r>
      <w:bookmarkStart w:id="78" w:name="_Toc180347481"/>
      <w:r>
        <w:rPr>
          <w:rFonts w:ascii="宋体" w:hAnsi="宋体"/>
          <w:b/>
          <w:kern w:val="0"/>
          <w:sz w:val="24"/>
          <w:highlight w:val="none"/>
        </w:rPr>
        <w:t>6</w:t>
      </w:r>
      <w:r>
        <w:rPr>
          <w:rFonts w:hint="eastAsia" w:ascii="宋体" w:hAnsi="宋体"/>
          <w:b/>
          <w:kern w:val="0"/>
          <w:sz w:val="24"/>
          <w:highlight w:val="none"/>
        </w:rPr>
        <w:t>．不存在</w:t>
      </w:r>
      <w:r>
        <w:rPr>
          <w:rFonts w:ascii="宋体" w:hAnsi="宋体"/>
          <w:b/>
          <w:kern w:val="0"/>
          <w:sz w:val="24"/>
          <w:highlight w:val="none"/>
        </w:rPr>
        <w:t>单位负责人为同一人或者存在直接控股、管理关系的不同</w:t>
      </w:r>
      <w:r>
        <w:rPr>
          <w:rFonts w:hint="eastAsia" w:ascii="宋体" w:hAnsi="宋体"/>
          <w:b/>
          <w:kern w:val="0"/>
          <w:sz w:val="24"/>
          <w:highlight w:val="none"/>
        </w:rPr>
        <w:t>投标人</w:t>
      </w:r>
      <w:r>
        <w:rPr>
          <w:rFonts w:ascii="宋体" w:hAnsi="宋体"/>
          <w:b/>
          <w:kern w:val="0"/>
          <w:sz w:val="24"/>
          <w:highlight w:val="none"/>
        </w:rPr>
        <w:t>参加同一合同项下的</w:t>
      </w:r>
      <w:r>
        <w:rPr>
          <w:rFonts w:hint="eastAsia" w:ascii="宋体" w:hAnsi="宋体"/>
          <w:b/>
          <w:kern w:val="0"/>
          <w:sz w:val="24"/>
          <w:highlight w:val="none"/>
        </w:rPr>
        <w:t>政府</w:t>
      </w:r>
      <w:r>
        <w:rPr>
          <w:rFonts w:ascii="宋体" w:hAnsi="宋体"/>
          <w:b/>
          <w:kern w:val="0"/>
          <w:sz w:val="24"/>
          <w:highlight w:val="none"/>
        </w:rPr>
        <w:t>采购活动的</w:t>
      </w:r>
      <w:r>
        <w:rPr>
          <w:rFonts w:hint="eastAsia" w:ascii="宋体" w:hAnsi="宋体"/>
          <w:b/>
          <w:kern w:val="0"/>
          <w:sz w:val="24"/>
          <w:highlight w:val="none"/>
        </w:rPr>
        <w:t>信用承诺书</w:t>
      </w:r>
      <w:bookmarkEnd w:id="78"/>
    </w:p>
    <w:p w14:paraId="7F5293F8">
      <w:pPr>
        <w:keepNext w:val="0"/>
        <w:keepLines w:val="0"/>
        <w:pageBreakBefore w:val="0"/>
        <w:widowControl w:val="0"/>
        <w:kinsoku/>
        <w:overflowPunct/>
        <w:topLinePunct/>
        <w:bidi w:val="0"/>
        <w:snapToGrid w:val="0"/>
        <w:spacing w:line="400" w:lineRule="exact"/>
        <w:ind w:firstLine="482"/>
        <w:jc w:val="left"/>
        <w:rPr>
          <w:b/>
          <w:kern w:val="0"/>
          <w:sz w:val="24"/>
          <w:highlight w:val="none"/>
        </w:rPr>
      </w:pPr>
    </w:p>
    <w:p w14:paraId="5A8F2365">
      <w:pPr>
        <w:keepNext w:val="0"/>
        <w:keepLines w:val="0"/>
        <w:pageBreakBefore w:val="0"/>
        <w:widowControl w:val="0"/>
        <w:kinsoku/>
        <w:overflowPunct/>
        <w:topLinePunct/>
        <w:bidi w:val="0"/>
        <w:adjustRightInd w:val="0"/>
        <w:snapToGrid w:val="0"/>
        <w:spacing w:line="360" w:lineRule="auto"/>
        <w:ind w:firstLine="482"/>
        <w:jc w:val="center"/>
        <w:rPr>
          <w:b/>
          <w:kern w:val="0"/>
          <w:sz w:val="24"/>
          <w:highlight w:val="none"/>
        </w:rPr>
      </w:pPr>
      <w:r>
        <w:rPr>
          <w:rFonts w:hint="eastAsia"/>
          <w:b/>
          <w:kern w:val="0"/>
          <w:sz w:val="24"/>
          <w:highlight w:val="none"/>
          <w:lang w:val="en-US" w:eastAsia="zh-CN"/>
        </w:rPr>
        <w:t>供应商</w:t>
      </w:r>
      <w:r>
        <w:rPr>
          <w:rFonts w:hint="eastAsia"/>
          <w:b/>
          <w:kern w:val="0"/>
          <w:sz w:val="24"/>
          <w:highlight w:val="none"/>
        </w:rPr>
        <w:t>信用承诺书</w:t>
      </w:r>
    </w:p>
    <w:p w14:paraId="2A441D51">
      <w:pPr>
        <w:keepNext w:val="0"/>
        <w:keepLines w:val="0"/>
        <w:pageBreakBefore w:val="0"/>
        <w:widowControl w:val="0"/>
        <w:kinsoku/>
        <w:overflowPunct/>
        <w:topLinePunct/>
        <w:bidi w:val="0"/>
        <w:snapToGrid w:val="0"/>
        <w:spacing w:line="400" w:lineRule="exact"/>
        <w:ind w:firstLine="482"/>
        <w:jc w:val="left"/>
        <w:rPr>
          <w:b/>
          <w:kern w:val="0"/>
          <w:sz w:val="24"/>
          <w:highlight w:val="none"/>
        </w:rPr>
      </w:pPr>
    </w:p>
    <w:p w14:paraId="13E4757D">
      <w:pPr>
        <w:keepNext w:val="0"/>
        <w:keepLines w:val="0"/>
        <w:pageBreakBefore w:val="0"/>
        <w:widowControl w:val="0"/>
        <w:kinsoku/>
        <w:overflowPunct/>
        <w:topLinePunct/>
        <w:bidi w:val="0"/>
        <w:spacing w:line="360" w:lineRule="auto"/>
        <w:rPr>
          <w:sz w:val="24"/>
          <w:highlight w:val="none"/>
          <w:u w:val="single"/>
        </w:rPr>
      </w:pPr>
      <w:r>
        <w:rPr>
          <w:sz w:val="24"/>
          <w:highlight w:val="none"/>
          <w:u w:val="single"/>
        </w:rPr>
        <w:t xml:space="preserve">  </w:t>
      </w:r>
      <w:r>
        <w:rPr>
          <w:rFonts w:hint="eastAsia"/>
          <w:sz w:val="24"/>
          <w:highlight w:val="none"/>
          <w:u w:val="single"/>
          <w:lang w:val="en-US" w:eastAsia="zh-CN"/>
        </w:rPr>
        <w:t>（</w:t>
      </w:r>
      <w:r>
        <w:rPr>
          <w:sz w:val="24"/>
          <w:highlight w:val="none"/>
          <w:u w:val="single"/>
        </w:rPr>
        <w:t>采购代理机构名称</w:t>
      </w:r>
      <w:r>
        <w:rPr>
          <w:rFonts w:hint="eastAsia"/>
          <w:sz w:val="24"/>
          <w:highlight w:val="none"/>
          <w:u w:val="single"/>
          <w:lang w:val="en-US" w:eastAsia="zh-CN"/>
        </w:rPr>
        <w:t>）</w:t>
      </w:r>
      <w:r>
        <w:rPr>
          <w:sz w:val="24"/>
          <w:highlight w:val="none"/>
          <w:u w:val="single"/>
        </w:rPr>
        <w:t xml:space="preserve">  ：</w:t>
      </w:r>
    </w:p>
    <w:p w14:paraId="64C55982">
      <w:pPr>
        <w:keepNext w:val="0"/>
        <w:keepLines w:val="0"/>
        <w:pageBreakBefore w:val="0"/>
        <w:widowControl w:val="0"/>
        <w:kinsoku/>
        <w:overflowPunct/>
        <w:topLinePunct/>
        <w:bidi w:val="0"/>
        <w:snapToGrid w:val="0"/>
        <w:spacing w:line="400" w:lineRule="exact"/>
        <w:ind w:firstLine="482"/>
        <w:jc w:val="left"/>
        <w:rPr>
          <w:b/>
          <w:kern w:val="0"/>
          <w:sz w:val="24"/>
          <w:highlight w:val="none"/>
        </w:rPr>
      </w:pPr>
    </w:p>
    <w:p w14:paraId="028A95C7">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rFonts w:hint="eastAsia"/>
          <w:sz w:val="24"/>
          <w:highlight w:val="none"/>
        </w:rPr>
        <w:t>我单位现参与贵公司组织的</w:t>
      </w:r>
      <w:r>
        <w:rPr>
          <w:rFonts w:hint="eastAsia"/>
          <w:sz w:val="24"/>
          <w:highlight w:val="none"/>
          <w:u w:val="single"/>
        </w:rPr>
        <w:t xml:space="preserve">            </w:t>
      </w:r>
      <w:r>
        <w:rPr>
          <w:rFonts w:hint="eastAsia"/>
          <w:sz w:val="24"/>
          <w:highlight w:val="none"/>
        </w:rPr>
        <w:t>项目</w:t>
      </w:r>
      <w:r>
        <w:rPr>
          <w:rFonts w:hint="eastAsia"/>
          <w:sz w:val="24"/>
          <w:highlight w:val="none"/>
          <w:u w:val="single"/>
        </w:rPr>
        <w:t>（项目编号：        ）</w:t>
      </w:r>
      <w:r>
        <w:rPr>
          <w:rFonts w:hint="eastAsia"/>
          <w:sz w:val="24"/>
          <w:highlight w:val="none"/>
        </w:rPr>
        <w:t>的采购活动。依据招标文件相关规定，现郑重声明：</w:t>
      </w:r>
    </w:p>
    <w:p w14:paraId="2DF29265">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rFonts w:hint="eastAsia"/>
          <w:sz w:val="24"/>
          <w:highlight w:val="none"/>
        </w:rPr>
        <w:t>我单位</w:t>
      </w:r>
      <w:r>
        <w:rPr>
          <w:sz w:val="24"/>
          <w:highlight w:val="none"/>
        </w:rPr>
        <w:t>不存在</w:t>
      </w:r>
      <w:r>
        <w:rPr>
          <w:rFonts w:hint="eastAsia"/>
          <w:sz w:val="24"/>
          <w:highlight w:val="none"/>
        </w:rPr>
        <w:t>与参与本项目的其他投标人的</w:t>
      </w:r>
      <w:r>
        <w:rPr>
          <w:sz w:val="24"/>
          <w:highlight w:val="none"/>
        </w:rPr>
        <w:t>单位负责人为同一人或者存在直接控股、管理关系的不同</w:t>
      </w:r>
      <w:r>
        <w:rPr>
          <w:rFonts w:hint="eastAsia"/>
          <w:sz w:val="24"/>
          <w:highlight w:val="none"/>
        </w:rPr>
        <w:t>投标人</w:t>
      </w:r>
      <w:r>
        <w:rPr>
          <w:sz w:val="24"/>
          <w:highlight w:val="none"/>
        </w:rPr>
        <w:t>参加同一合同项下的</w:t>
      </w:r>
      <w:r>
        <w:rPr>
          <w:rFonts w:hint="eastAsia"/>
          <w:sz w:val="24"/>
          <w:highlight w:val="none"/>
        </w:rPr>
        <w:t>政府</w:t>
      </w:r>
      <w:r>
        <w:rPr>
          <w:sz w:val="24"/>
          <w:highlight w:val="none"/>
        </w:rPr>
        <w:t>采购活动的情形。</w:t>
      </w:r>
    </w:p>
    <w:p w14:paraId="6AFAA500">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以上承诺信息如有虚假或隐瞒，我方愿意承担一切后果，并不再寻求任何旨在减轻或免除法律责任的辩解。</w:t>
      </w:r>
    </w:p>
    <w:p w14:paraId="48676790">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r>
        <w:rPr>
          <w:sz w:val="24"/>
          <w:highlight w:val="none"/>
        </w:rPr>
        <w:t>特此承诺。</w:t>
      </w:r>
    </w:p>
    <w:p w14:paraId="6D6A1FFB">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p>
    <w:p w14:paraId="4E913491">
      <w:pPr>
        <w:keepNext w:val="0"/>
        <w:keepLines w:val="0"/>
        <w:pageBreakBefore w:val="0"/>
        <w:widowControl w:val="0"/>
        <w:kinsoku/>
        <w:overflowPunct/>
        <w:topLinePunct/>
        <w:bidi w:val="0"/>
        <w:adjustRightInd w:val="0"/>
        <w:snapToGrid w:val="0"/>
        <w:spacing w:line="360" w:lineRule="auto"/>
        <w:ind w:firstLine="480" w:firstLineChars="200"/>
        <w:rPr>
          <w:sz w:val="24"/>
          <w:highlight w:val="none"/>
        </w:rPr>
      </w:pPr>
    </w:p>
    <w:p w14:paraId="412D6F3C">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rFonts w:hint="eastAsia"/>
          <w:sz w:val="24"/>
          <w:highlight w:val="none"/>
        </w:rPr>
        <w:t>投标人</w:t>
      </w:r>
      <w:r>
        <w:rPr>
          <w:sz w:val="24"/>
          <w:highlight w:val="none"/>
        </w:rPr>
        <w:t>名称：</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（盖章）</w:t>
      </w:r>
    </w:p>
    <w:p w14:paraId="09BA4AEE">
      <w:pPr>
        <w:keepNext w:val="0"/>
        <w:keepLines w:val="0"/>
        <w:pageBreakBefore w:val="0"/>
        <w:widowControl w:val="0"/>
        <w:kinsoku/>
        <w:overflowPunct/>
        <w:topLinePunct/>
        <w:bidi w:val="0"/>
        <w:adjustRightInd w:val="0"/>
        <w:snapToGrid w:val="0"/>
        <w:spacing w:line="360" w:lineRule="auto"/>
        <w:ind w:firstLine="3120" w:firstLineChars="1300"/>
        <w:rPr>
          <w:highlight w:val="none"/>
        </w:rPr>
      </w:pPr>
      <w:r>
        <w:rPr>
          <w:sz w:val="24"/>
          <w:highlight w:val="none"/>
        </w:rPr>
        <w:t>法定代表人（负责人）：</w:t>
      </w:r>
      <w:r>
        <w:rPr>
          <w:sz w:val="24"/>
          <w:highlight w:val="none"/>
          <w:u w:val="single"/>
        </w:rPr>
        <w:t xml:space="preserve">          </w:t>
      </w:r>
      <w:r>
        <w:rPr>
          <w:sz w:val="24"/>
          <w:highlight w:val="none"/>
        </w:rPr>
        <w:t>（签字或盖章）</w:t>
      </w:r>
    </w:p>
    <w:p w14:paraId="5D0657C3">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sz w:val="24"/>
          <w:highlight w:val="none"/>
        </w:rPr>
        <w:t>日      期：</w:t>
      </w:r>
    </w:p>
    <w:p w14:paraId="76D1D528">
      <w:pPr>
        <w:keepNext w:val="0"/>
        <w:keepLines w:val="0"/>
        <w:pageBreakBefore w:val="0"/>
        <w:widowControl w:val="0"/>
        <w:kinsoku/>
        <w:overflowPunct/>
        <w:topLinePunct/>
        <w:bidi w:val="0"/>
        <w:snapToGrid w:val="0"/>
        <w:spacing w:line="480" w:lineRule="exact"/>
        <w:ind w:firstLine="3120" w:firstLineChars="1300"/>
        <w:rPr>
          <w:sz w:val="24"/>
          <w:highlight w:val="none"/>
        </w:rPr>
      </w:pPr>
    </w:p>
    <w:p w14:paraId="6BBF8294">
      <w:pPr>
        <w:keepNext w:val="0"/>
        <w:keepLines w:val="0"/>
        <w:pageBreakBefore w:val="0"/>
        <w:widowControl w:val="0"/>
        <w:kinsoku/>
        <w:overflowPunct/>
        <w:bidi w:val="0"/>
        <w:spacing w:line="520" w:lineRule="atLeast"/>
        <w:rPr>
          <w:rFonts w:ascii="Times New Roman" w:hAnsi="Times New Roman"/>
          <w:color w:val="000000" w:themeColor="text1"/>
          <w:kern w:val="0"/>
          <w:sz w:val="24"/>
          <w:highlight w:val="none"/>
          <w14:textFill>
            <w14:solidFill>
              <w14:schemeClr w14:val="tx1"/>
            </w14:solidFill>
          </w14:textFill>
        </w:rPr>
      </w:pPr>
      <w:r>
        <w:rPr>
          <w:b/>
          <w:kern w:val="0"/>
          <w:sz w:val="24"/>
          <w:highlight w:val="none"/>
        </w:rPr>
        <w:br w:type="page"/>
      </w:r>
      <w:r>
        <w:rPr>
          <w:rFonts w:ascii="Times New Roman" w:hAnsi="Times New Roman"/>
          <w:color w:val="000000" w:themeColor="text1"/>
          <w:kern w:val="0"/>
          <w:sz w:val="24"/>
          <w:highlight w:val="none"/>
          <w14:textFill>
            <w14:solidFill>
              <w14:schemeClr w14:val="tx1"/>
            </w14:solidFill>
          </w14:textFill>
        </w:rPr>
        <w:t>投标文件（商务技术文件）封面格式</w:t>
      </w:r>
    </w:p>
    <w:p w14:paraId="5C4A9E92">
      <w:pPr>
        <w:keepNext w:val="0"/>
        <w:keepLines w:val="0"/>
        <w:pageBreakBefore w:val="0"/>
        <w:widowControl w:val="0"/>
        <w:kinsoku/>
        <w:overflowPunct/>
        <w:bidi w:val="0"/>
        <w:snapToGrid w:val="0"/>
        <w:spacing w:line="360" w:lineRule="auto"/>
        <w:ind w:firstLine="560"/>
        <w:rPr>
          <w:rFonts w:ascii="Times New Roman" w:hAnsi="Times New Roman"/>
          <w:color w:val="000000" w:themeColor="text1"/>
          <w:kern w:val="0"/>
          <w:sz w:val="28"/>
          <w:szCs w:val="32"/>
          <w:highlight w:val="none"/>
          <w14:textFill>
            <w14:solidFill>
              <w14:schemeClr w14:val="tx1"/>
            </w14:solidFill>
          </w14:textFill>
        </w:rPr>
      </w:pPr>
    </w:p>
    <w:p w14:paraId="7CD80651">
      <w:pPr>
        <w:keepNext w:val="0"/>
        <w:keepLines w:val="0"/>
        <w:pageBreakBefore w:val="0"/>
        <w:widowControl w:val="0"/>
        <w:kinsoku/>
        <w:overflowPunct/>
        <w:bidi w:val="0"/>
        <w:snapToGrid w:val="0"/>
        <w:spacing w:line="360" w:lineRule="auto"/>
        <w:ind w:firstLine="560"/>
        <w:jc w:val="right"/>
        <w:rPr>
          <w:rFonts w:ascii="Times New Roman" w:hAnsi="Times New Roman"/>
          <w:color w:val="000000" w:themeColor="text1"/>
          <w:kern w:val="0"/>
          <w:sz w:val="28"/>
          <w:szCs w:val="32"/>
          <w:highlight w:val="none"/>
          <w14:textFill>
            <w14:solidFill>
              <w14:schemeClr w14:val="tx1"/>
            </w14:solidFill>
          </w14:textFill>
        </w:rPr>
      </w:pPr>
    </w:p>
    <w:p w14:paraId="0E753991">
      <w:pPr>
        <w:keepNext w:val="0"/>
        <w:keepLines w:val="0"/>
        <w:pageBreakBefore w:val="0"/>
        <w:widowControl w:val="0"/>
        <w:kinsoku/>
        <w:overflowPunct/>
        <w:bidi w:val="0"/>
        <w:snapToGrid w:val="0"/>
        <w:spacing w:line="360" w:lineRule="auto"/>
        <w:ind w:firstLine="560"/>
        <w:jc w:val="right"/>
        <w:rPr>
          <w:rFonts w:ascii="Times New Roman" w:hAnsi="Times New Roman"/>
          <w:color w:val="000000" w:themeColor="text1"/>
          <w:kern w:val="0"/>
          <w:sz w:val="28"/>
          <w:szCs w:val="32"/>
          <w:highlight w:val="none"/>
          <w14:textFill>
            <w14:solidFill>
              <w14:schemeClr w14:val="tx1"/>
            </w14:solidFill>
          </w14:textFill>
        </w:rPr>
      </w:pPr>
    </w:p>
    <w:p w14:paraId="75E69B75">
      <w:pPr>
        <w:keepNext w:val="0"/>
        <w:keepLines w:val="0"/>
        <w:pageBreakBefore w:val="0"/>
        <w:widowControl w:val="0"/>
        <w:kinsoku/>
        <w:overflowPunct/>
        <w:bidi w:val="0"/>
        <w:snapToGrid w:val="0"/>
        <w:spacing w:line="360" w:lineRule="auto"/>
        <w:ind w:firstLine="560"/>
        <w:jc w:val="right"/>
        <w:rPr>
          <w:rFonts w:ascii="Times New Roman" w:hAnsi="Times New Roman"/>
          <w:color w:val="000000" w:themeColor="text1"/>
          <w:kern w:val="0"/>
          <w:sz w:val="28"/>
          <w:szCs w:val="32"/>
          <w:highlight w:val="none"/>
          <w14:textFill>
            <w14:solidFill>
              <w14:schemeClr w14:val="tx1"/>
            </w14:solidFill>
          </w14:textFill>
        </w:rPr>
      </w:pPr>
    </w:p>
    <w:p w14:paraId="449E2500">
      <w:pPr>
        <w:keepNext w:val="0"/>
        <w:keepLines w:val="0"/>
        <w:pageBreakBefore w:val="0"/>
        <w:widowControl w:val="0"/>
        <w:kinsoku/>
        <w:overflowPunct/>
        <w:bidi w:val="0"/>
        <w:snapToGrid w:val="0"/>
        <w:spacing w:line="360" w:lineRule="auto"/>
        <w:jc w:val="center"/>
        <w:rPr>
          <w:rFonts w:ascii="Times New Roman" w:hAnsi="Times New Roman"/>
          <w:b/>
          <w:color w:val="000000" w:themeColor="text1"/>
          <w:kern w:val="0"/>
          <w:sz w:val="72"/>
          <w:szCs w:val="72"/>
          <w:highlight w:val="none"/>
          <w14:textFill>
            <w14:solidFill>
              <w14:schemeClr w14:val="tx1"/>
            </w14:solidFill>
          </w14:textFill>
        </w:rPr>
      </w:pPr>
      <w:r>
        <w:rPr>
          <w:rFonts w:ascii="Times New Roman" w:hAnsi="Times New Roman"/>
          <w:b/>
          <w:color w:val="000000" w:themeColor="text1"/>
          <w:kern w:val="0"/>
          <w:sz w:val="72"/>
          <w:szCs w:val="72"/>
          <w:highlight w:val="none"/>
          <w14:textFill>
            <w14:solidFill>
              <w14:schemeClr w14:val="tx1"/>
            </w14:solidFill>
          </w14:textFill>
        </w:rPr>
        <w:t>投  标  文  件</w:t>
      </w:r>
    </w:p>
    <w:p w14:paraId="714C7B9F">
      <w:pPr>
        <w:keepNext w:val="0"/>
        <w:keepLines w:val="0"/>
        <w:pageBreakBefore w:val="0"/>
        <w:widowControl w:val="0"/>
        <w:kinsoku/>
        <w:overflowPunct/>
        <w:bidi w:val="0"/>
        <w:snapToGrid w:val="0"/>
        <w:spacing w:line="360" w:lineRule="auto"/>
        <w:ind w:firstLine="883"/>
        <w:jc w:val="center"/>
        <w:rPr>
          <w:rFonts w:ascii="Times New Roman" w:hAnsi="Times New Roman"/>
          <w:b/>
          <w:color w:val="000000" w:themeColor="text1"/>
          <w:kern w:val="0"/>
          <w:sz w:val="44"/>
          <w:szCs w:val="44"/>
          <w:highlight w:val="none"/>
          <w14:textFill>
            <w14:solidFill>
              <w14:schemeClr w14:val="tx1"/>
            </w14:solidFill>
          </w14:textFill>
        </w:rPr>
      </w:pPr>
      <w:r>
        <w:rPr>
          <w:rFonts w:ascii="Times New Roman" w:hAnsi="Times New Roman"/>
          <w:b/>
          <w:color w:val="000000" w:themeColor="text1"/>
          <w:kern w:val="0"/>
          <w:sz w:val="44"/>
          <w:szCs w:val="44"/>
          <w:highlight w:val="none"/>
          <w14:textFill>
            <w14:solidFill>
              <w14:schemeClr w14:val="tx1"/>
            </w14:solidFill>
          </w14:textFill>
        </w:rPr>
        <w:t>（商务技术文件）</w:t>
      </w:r>
    </w:p>
    <w:p w14:paraId="48D2FE97">
      <w:pPr>
        <w:keepNext w:val="0"/>
        <w:keepLines w:val="0"/>
        <w:pageBreakBefore w:val="0"/>
        <w:widowControl w:val="0"/>
        <w:kinsoku/>
        <w:overflowPunct/>
        <w:bidi w:val="0"/>
        <w:snapToGrid w:val="0"/>
        <w:spacing w:line="360" w:lineRule="auto"/>
        <w:ind w:firstLine="560" w:firstLineChars="200"/>
        <w:jc w:val="left"/>
        <w:rPr>
          <w:rFonts w:ascii="Times New Roman" w:hAnsi="Times New Roman"/>
          <w:color w:val="000000" w:themeColor="text1"/>
          <w:kern w:val="0"/>
          <w:sz w:val="28"/>
          <w:szCs w:val="30"/>
          <w:highlight w:val="none"/>
          <w14:textFill>
            <w14:solidFill>
              <w14:schemeClr w14:val="tx1"/>
            </w14:solidFill>
          </w14:textFill>
        </w:rPr>
      </w:pPr>
    </w:p>
    <w:p w14:paraId="0C5627BB">
      <w:pPr>
        <w:keepNext w:val="0"/>
        <w:keepLines w:val="0"/>
        <w:pageBreakBefore w:val="0"/>
        <w:widowControl w:val="0"/>
        <w:kinsoku/>
        <w:overflowPunct/>
        <w:bidi w:val="0"/>
        <w:snapToGrid w:val="0"/>
        <w:spacing w:line="360" w:lineRule="auto"/>
        <w:ind w:firstLine="560" w:firstLineChars="200"/>
        <w:jc w:val="left"/>
        <w:rPr>
          <w:rFonts w:ascii="Times New Roman" w:hAnsi="Times New Roman"/>
          <w:color w:val="000000" w:themeColor="text1"/>
          <w:kern w:val="0"/>
          <w:sz w:val="28"/>
          <w:szCs w:val="30"/>
          <w:highlight w:val="none"/>
          <w14:textFill>
            <w14:solidFill>
              <w14:schemeClr w14:val="tx1"/>
            </w14:solidFill>
          </w14:textFill>
        </w:rPr>
      </w:pPr>
      <w:r>
        <w:rPr>
          <w:rFonts w:ascii="Times New Roman" w:hAnsi="Times New Roman"/>
          <w:color w:val="000000" w:themeColor="text1"/>
          <w:kern w:val="0"/>
          <w:sz w:val="28"/>
          <w:szCs w:val="30"/>
          <w:highlight w:val="none"/>
          <w14:textFill>
            <w14:solidFill>
              <w14:schemeClr w14:val="tx1"/>
            </w14:solidFill>
          </w14:textFill>
        </w:rPr>
        <w:t>项目名称：</w:t>
      </w:r>
    </w:p>
    <w:p w14:paraId="42D0835A">
      <w:pPr>
        <w:keepNext w:val="0"/>
        <w:keepLines w:val="0"/>
        <w:pageBreakBefore w:val="0"/>
        <w:widowControl w:val="0"/>
        <w:kinsoku/>
        <w:overflowPunct/>
        <w:bidi w:val="0"/>
        <w:snapToGrid w:val="0"/>
        <w:spacing w:line="360" w:lineRule="auto"/>
        <w:ind w:firstLine="560" w:firstLineChars="200"/>
        <w:jc w:val="left"/>
        <w:rPr>
          <w:rFonts w:ascii="Times New Roman" w:hAnsi="Times New Roman"/>
          <w:color w:val="000000" w:themeColor="text1"/>
          <w:kern w:val="0"/>
          <w:sz w:val="28"/>
          <w:szCs w:val="30"/>
          <w:highlight w:val="none"/>
          <w14:textFill>
            <w14:solidFill>
              <w14:schemeClr w14:val="tx1"/>
            </w14:solidFill>
          </w14:textFill>
        </w:rPr>
      </w:pPr>
      <w:r>
        <w:rPr>
          <w:rFonts w:ascii="Times New Roman" w:hAnsi="Times New Roman"/>
          <w:color w:val="000000" w:themeColor="text1"/>
          <w:kern w:val="0"/>
          <w:sz w:val="28"/>
          <w:szCs w:val="30"/>
          <w:highlight w:val="none"/>
          <w14:textFill>
            <w14:solidFill>
              <w14:schemeClr w14:val="tx1"/>
            </w14:solidFill>
          </w14:textFill>
        </w:rPr>
        <w:t>项目编号：</w:t>
      </w:r>
    </w:p>
    <w:p w14:paraId="707CF803">
      <w:pPr>
        <w:pStyle w:val="8"/>
        <w:keepNext w:val="0"/>
        <w:keepLines w:val="0"/>
        <w:pageBreakBefore w:val="0"/>
        <w:widowControl w:val="0"/>
        <w:kinsoku/>
        <w:overflowPunct/>
        <w:bidi w:val="0"/>
        <w:ind w:firstLine="480"/>
        <w:rPr>
          <w:rFonts w:ascii="Times New Roman" w:hAnsi="Times New Roman"/>
          <w:color w:val="000000" w:themeColor="text1"/>
          <w:highlight w:val="none"/>
          <w14:textFill>
            <w14:solidFill>
              <w14:schemeClr w14:val="tx1"/>
            </w14:solidFill>
          </w14:textFill>
        </w:rPr>
      </w:pPr>
    </w:p>
    <w:p w14:paraId="04A06D69">
      <w:pPr>
        <w:pStyle w:val="8"/>
        <w:keepNext w:val="0"/>
        <w:keepLines w:val="0"/>
        <w:pageBreakBefore w:val="0"/>
        <w:widowControl w:val="0"/>
        <w:kinsoku/>
        <w:overflowPunct/>
        <w:bidi w:val="0"/>
        <w:ind w:firstLine="480"/>
        <w:rPr>
          <w:rFonts w:ascii="Times New Roman" w:hAnsi="Times New Roman"/>
          <w:color w:val="000000" w:themeColor="text1"/>
          <w:highlight w:val="none"/>
          <w14:textFill>
            <w14:solidFill>
              <w14:schemeClr w14:val="tx1"/>
            </w14:solidFill>
          </w14:textFill>
        </w:rPr>
      </w:pPr>
    </w:p>
    <w:p w14:paraId="53F7640A">
      <w:pPr>
        <w:pStyle w:val="8"/>
        <w:keepNext w:val="0"/>
        <w:keepLines w:val="0"/>
        <w:pageBreakBefore w:val="0"/>
        <w:widowControl w:val="0"/>
        <w:kinsoku/>
        <w:overflowPunct/>
        <w:bidi w:val="0"/>
        <w:ind w:firstLine="480"/>
        <w:rPr>
          <w:rFonts w:ascii="Times New Roman" w:hAnsi="Times New Roman"/>
          <w:color w:val="000000" w:themeColor="text1"/>
          <w:highlight w:val="none"/>
          <w14:textFill>
            <w14:solidFill>
              <w14:schemeClr w14:val="tx1"/>
            </w14:solidFill>
          </w14:textFill>
        </w:rPr>
      </w:pPr>
    </w:p>
    <w:p w14:paraId="4392721D">
      <w:pPr>
        <w:pStyle w:val="8"/>
        <w:keepNext w:val="0"/>
        <w:keepLines w:val="0"/>
        <w:pageBreakBefore w:val="0"/>
        <w:widowControl w:val="0"/>
        <w:kinsoku/>
        <w:overflowPunct/>
        <w:bidi w:val="0"/>
        <w:ind w:firstLine="480"/>
        <w:rPr>
          <w:rFonts w:ascii="Times New Roman" w:hAnsi="Times New Roman"/>
          <w:color w:val="000000" w:themeColor="text1"/>
          <w:highlight w:val="none"/>
          <w14:textFill>
            <w14:solidFill>
              <w14:schemeClr w14:val="tx1"/>
            </w14:solidFill>
          </w14:textFill>
        </w:rPr>
      </w:pPr>
    </w:p>
    <w:p w14:paraId="4B0EB52B">
      <w:pPr>
        <w:pStyle w:val="8"/>
        <w:keepNext w:val="0"/>
        <w:keepLines w:val="0"/>
        <w:pageBreakBefore w:val="0"/>
        <w:widowControl w:val="0"/>
        <w:kinsoku/>
        <w:overflowPunct/>
        <w:bidi w:val="0"/>
        <w:ind w:firstLine="480"/>
        <w:rPr>
          <w:rFonts w:ascii="Times New Roman" w:hAnsi="Times New Roman"/>
          <w:color w:val="000000" w:themeColor="text1"/>
          <w:highlight w:val="none"/>
          <w14:textFill>
            <w14:solidFill>
              <w14:schemeClr w14:val="tx1"/>
            </w14:solidFill>
          </w14:textFill>
        </w:rPr>
      </w:pPr>
    </w:p>
    <w:p w14:paraId="3FD9E289">
      <w:pPr>
        <w:keepNext w:val="0"/>
        <w:keepLines w:val="0"/>
        <w:pageBreakBefore w:val="0"/>
        <w:widowControl w:val="0"/>
        <w:kinsoku/>
        <w:overflowPunct/>
        <w:bidi w:val="0"/>
        <w:snapToGrid w:val="0"/>
        <w:spacing w:line="360" w:lineRule="auto"/>
        <w:ind w:firstLine="560"/>
        <w:jc w:val="left"/>
        <w:rPr>
          <w:rFonts w:ascii="Times New Roman" w:hAnsi="Times New Roman"/>
          <w:color w:val="000000" w:themeColor="text1"/>
          <w:kern w:val="0"/>
          <w:sz w:val="28"/>
          <w:highlight w:val="none"/>
          <w14:textFill>
            <w14:solidFill>
              <w14:schemeClr w14:val="tx1"/>
            </w14:solidFill>
          </w14:textFill>
        </w:rPr>
      </w:pPr>
    </w:p>
    <w:p w14:paraId="37FED148">
      <w:pPr>
        <w:keepNext w:val="0"/>
        <w:keepLines w:val="0"/>
        <w:pageBreakBefore w:val="0"/>
        <w:widowControl w:val="0"/>
        <w:kinsoku/>
        <w:overflowPunct/>
        <w:bidi w:val="0"/>
        <w:snapToGrid w:val="0"/>
        <w:spacing w:line="360" w:lineRule="auto"/>
        <w:ind w:firstLine="560"/>
        <w:jc w:val="center"/>
        <w:rPr>
          <w:rFonts w:ascii="Times New Roman" w:hAnsi="Times New Roman"/>
          <w:color w:val="000000" w:themeColor="text1"/>
          <w:kern w:val="0"/>
          <w:sz w:val="28"/>
          <w:highlight w:val="none"/>
          <w14:textFill>
            <w14:solidFill>
              <w14:schemeClr w14:val="tx1"/>
            </w14:solidFill>
          </w14:textFill>
        </w:rPr>
      </w:pPr>
    </w:p>
    <w:p w14:paraId="19350FEB">
      <w:pPr>
        <w:keepNext w:val="0"/>
        <w:keepLines w:val="0"/>
        <w:pageBreakBefore w:val="0"/>
        <w:widowControl w:val="0"/>
        <w:kinsoku/>
        <w:overflowPunct/>
        <w:bidi w:val="0"/>
        <w:snapToGrid w:val="0"/>
        <w:spacing w:line="360" w:lineRule="auto"/>
        <w:ind w:firstLine="560"/>
        <w:jc w:val="center"/>
        <w:rPr>
          <w:rFonts w:ascii="Times New Roman" w:hAnsi="Times New Roman"/>
          <w:color w:val="000000" w:themeColor="text1"/>
          <w:kern w:val="0"/>
          <w:sz w:val="28"/>
          <w:szCs w:val="28"/>
          <w:highlight w:val="none"/>
          <w:u w:val="single"/>
          <w14:textFill>
            <w14:solidFill>
              <w14:schemeClr w14:val="tx1"/>
            </w14:solidFill>
          </w14:textFill>
        </w:rPr>
      </w:pPr>
      <w:r>
        <w:rPr>
          <w:rFonts w:ascii="Times New Roman" w:hAnsi="Times New Roman"/>
          <w:color w:val="000000" w:themeColor="text1"/>
          <w:kern w:val="0"/>
          <w:sz w:val="28"/>
          <w:szCs w:val="28"/>
          <w:highlight w:val="none"/>
          <w14:textFill>
            <w14:solidFill>
              <w14:schemeClr w14:val="tx1"/>
            </w14:solidFill>
          </w14:textFill>
        </w:rPr>
        <w:t xml:space="preserve">投标人全称： </w:t>
      </w:r>
      <w:r>
        <w:rPr>
          <w:rFonts w:ascii="Times New Roman" w:hAnsi="Times New Roman"/>
          <w:color w:val="000000" w:themeColor="text1"/>
          <w:kern w:val="0"/>
          <w:sz w:val="28"/>
          <w:szCs w:val="28"/>
          <w:highlight w:val="none"/>
          <w:u w:val="single"/>
          <w14:textFill>
            <w14:solidFill>
              <w14:schemeClr w14:val="tx1"/>
            </w14:solidFill>
          </w14:textFill>
        </w:rPr>
        <w:t xml:space="preserve">               </w:t>
      </w:r>
      <w:r>
        <w:rPr>
          <w:rFonts w:ascii="Times New Roman" w:hAnsi="Times New Roman"/>
          <w:color w:val="000000" w:themeColor="text1"/>
          <w:kern w:val="0"/>
          <w:sz w:val="28"/>
          <w:szCs w:val="28"/>
          <w:highlight w:val="none"/>
          <w14:textFill>
            <w14:solidFill>
              <w14:schemeClr w14:val="tx1"/>
            </w14:solidFill>
          </w14:textFill>
        </w:rPr>
        <w:t>（盖章）</w:t>
      </w:r>
    </w:p>
    <w:p w14:paraId="1E7E2B0C">
      <w:pPr>
        <w:keepNext w:val="0"/>
        <w:keepLines w:val="0"/>
        <w:pageBreakBefore w:val="0"/>
        <w:widowControl w:val="0"/>
        <w:kinsoku/>
        <w:overflowPunct/>
        <w:bidi w:val="0"/>
        <w:snapToGrid w:val="0"/>
        <w:spacing w:line="360" w:lineRule="auto"/>
        <w:ind w:firstLine="560"/>
        <w:jc w:val="center"/>
        <w:rPr>
          <w:rFonts w:ascii="Times New Roman" w:hAnsi="Times New Roman"/>
          <w:color w:val="000000" w:themeColor="text1"/>
          <w:kern w:val="0"/>
          <w:sz w:val="28"/>
          <w:szCs w:val="28"/>
          <w:highlight w:val="none"/>
          <w:u w:val="single"/>
          <w14:textFill>
            <w14:solidFill>
              <w14:schemeClr w14:val="tx1"/>
            </w14:solidFill>
          </w14:textFill>
        </w:rPr>
      </w:pPr>
      <w:r>
        <w:rPr>
          <w:rFonts w:ascii="Times New Roman" w:hAnsi="Times New Roman"/>
          <w:color w:val="000000" w:themeColor="text1"/>
          <w:kern w:val="0"/>
          <w:sz w:val="28"/>
          <w:szCs w:val="28"/>
          <w:highlight w:val="none"/>
          <w14:textFill>
            <w14:solidFill>
              <w14:schemeClr w14:val="tx1"/>
            </w14:solidFill>
          </w14:textFill>
        </w:rPr>
        <w:t>法定代表人（负责人）或授权代表：</w:t>
      </w:r>
      <w:r>
        <w:rPr>
          <w:rFonts w:ascii="Times New Roman" w:hAnsi="Times New Roman"/>
          <w:color w:val="000000" w:themeColor="text1"/>
          <w:kern w:val="0"/>
          <w:sz w:val="28"/>
          <w:szCs w:val="28"/>
          <w:highlight w:val="none"/>
          <w:u w:val="single"/>
          <w14:textFill>
            <w14:solidFill>
              <w14:schemeClr w14:val="tx1"/>
            </w14:solidFill>
          </w14:textFill>
        </w:rPr>
        <w:t xml:space="preserve">                </w:t>
      </w:r>
      <w:r>
        <w:rPr>
          <w:rFonts w:ascii="Times New Roman" w:hAnsi="Times New Roman"/>
          <w:color w:val="000000" w:themeColor="text1"/>
          <w:kern w:val="0"/>
          <w:sz w:val="28"/>
          <w:szCs w:val="28"/>
          <w:highlight w:val="none"/>
          <w14:textFill>
            <w14:solidFill>
              <w14:schemeClr w14:val="tx1"/>
            </w14:solidFill>
          </w14:textFill>
        </w:rPr>
        <w:t>（签字或盖章）</w:t>
      </w:r>
    </w:p>
    <w:p w14:paraId="03F39960">
      <w:pPr>
        <w:keepNext w:val="0"/>
        <w:keepLines w:val="0"/>
        <w:pageBreakBefore w:val="0"/>
        <w:widowControl w:val="0"/>
        <w:kinsoku/>
        <w:overflowPunct/>
        <w:bidi w:val="0"/>
        <w:snapToGrid w:val="0"/>
        <w:spacing w:line="360" w:lineRule="auto"/>
        <w:ind w:firstLine="600"/>
        <w:rPr>
          <w:rFonts w:ascii="Times New Roman" w:hAnsi="Times New Roman"/>
          <w:color w:val="000000" w:themeColor="text1"/>
          <w:kern w:val="0"/>
          <w:sz w:val="30"/>
          <w:szCs w:val="30"/>
          <w:highlight w:val="none"/>
          <w:u w:val="single"/>
          <w14:textFill>
            <w14:solidFill>
              <w14:schemeClr w14:val="tx1"/>
            </w14:solidFill>
          </w14:textFill>
        </w:rPr>
      </w:pPr>
    </w:p>
    <w:p w14:paraId="1AD6C8C6">
      <w:pPr>
        <w:keepNext w:val="0"/>
        <w:keepLines w:val="0"/>
        <w:pageBreakBefore w:val="0"/>
        <w:widowControl w:val="0"/>
        <w:kinsoku/>
        <w:overflowPunct/>
        <w:bidi w:val="0"/>
        <w:snapToGrid w:val="0"/>
        <w:spacing w:line="360" w:lineRule="auto"/>
        <w:ind w:firstLine="600"/>
        <w:rPr>
          <w:rFonts w:ascii="Times New Roman" w:hAnsi="Times New Roman"/>
          <w:color w:val="000000" w:themeColor="text1"/>
          <w:kern w:val="0"/>
          <w:sz w:val="30"/>
          <w:szCs w:val="30"/>
          <w:highlight w:val="none"/>
          <w:u w:val="single"/>
          <w14:textFill>
            <w14:solidFill>
              <w14:schemeClr w14:val="tx1"/>
            </w14:solidFill>
          </w14:textFill>
        </w:rPr>
      </w:pPr>
    </w:p>
    <w:p w14:paraId="6FE576D9">
      <w:pPr>
        <w:keepNext w:val="0"/>
        <w:keepLines w:val="0"/>
        <w:pageBreakBefore w:val="0"/>
        <w:widowControl w:val="0"/>
        <w:kinsoku/>
        <w:overflowPunct/>
        <w:bidi w:val="0"/>
        <w:snapToGrid w:val="0"/>
        <w:spacing w:line="360" w:lineRule="auto"/>
        <w:ind w:firstLine="600"/>
        <w:jc w:val="center"/>
        <w:rPr>
          <w:rFonts w:ascii="Times New Roman" w:hAnsi="Times New Roman"/>
          <w:bCs/>
          <w:color w:val="000000" w:themeColor="text1"/>
          <w:sz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二〇二</w:t>
      </w:r>
      <w:r>
        <w:rPr>
          <w:rFonts w:hint="eastAsia" w:ascii="Times New Roman" w:hAnsi="Times New Roman"/>
          <w:color w:val="000000" w:themeColor="text1"/>
          <w:kern w:val="0"/>
          <w:sz w:val="30"/>
          <w:szCs w:val="30"/>
          <w:highlight w:val="none"/>
          <w:lang w:val="en-US" w:eastAsia="zh-CN"/>
          <w14:textFill>
            <w14:solidFill>
              <w14:schemeClr w14:val="tx1"/>
            </w14:solidFill>
          </w14:textFill>
        </w:rPr>
        <w:t>五</w:t>
      </w:r>
      <w:r>
        <w:rPr>
          <w:rFonts w:ascii="Times New Roman" w:hAnsi="Times New Roman"/>
          <w:color w:val="000000" w:themeColor="text1"/>
          <w:kern w:val="0"/>
          <w:sz w:val="30"/>
          <w:szCs w:val="30"/>
          <w:highlight w:val="none"/>
          <w14:textFill>
            <w14:solidFill>
              <w14:schemeClr w14:val="tx1"/>
            </w14:solidFill>
          </w14:textFill>
        </w:rPr>
        <w:t>年   月   日</w:t>
      </w:r>
    </w:p>
    <w:p w14:paraId="67BAAF3A">
      <w:pPr>
        <w:keepNext w:val="0"/>
        <w:keepLines w:val="0"/>
        <w:pageBreakBefore w:val="0"/>
        <w:widowControl w:val="0"/>
        <w:kinsoku/>
        <w:overflowPunct/>
        <w:bidi w:val="0"/>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br w:type="page"/>
      </w:r>
    </w:p>
    <w:p w14:paraId="6285494C">
      <w:pPr>
        <w:keepNext w:val="0"/>
        <w:keepLines w:val="0"/>
        <w:pageBreakBefore w:val="0"/>
        <w:widowControl w:val="0"/>
        <w:kinsoku/>
        <w:overflowPunct/>
        <w:bidi w:val="0"/>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目录格式</w:t>
      </w:r>
    </w:p>
    <w:p w14:paraId="56D3E804">
      <w:pPr>
        <w:keepNext w:val="0"/>
        <w:keepLines w:val="0"/>
        <w:pageBreakBefore w:val="0"/>
        <w:widowControl w:val="0"/>
        <w:kinsoku/>
        <w:overflowPunct/>
        <w:bidi w:val="0"/>
        <w:spacing w:line="360" w:lineRule="auto"/>
        <w:ind w:firstLine="562"/>
        <w:jc w:val="center"/>
        <w:rPr>
          <w:rFonts w:ascii="Times New Roman" w:hAnsi="Times New Roman"/>
          <w:b/>
          <w:bCs/>
          <w:color w:val="000000" w:themeColor="text1"/>
          <w:sz w:val="28"/>
          <w:szCs w:val="28"/>
          <w:highlight w:val="none"/>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目     录</w:t>
      </w:r>
    </w:p>
    <w:p w14:paraId="16D6C65D">
      <w:pPr>
        <w:pStyle w:val="18"/>
        <w:keepNext w:val="0"/>
        <w:keepLines w:val="0"/>
        <w:pageBreakBefore w:val="0"/>
        <w:widowControl w:val="0"/>
        <w:kinsoku/>
        <w:overflowPunct/>
        <w:bidi w:val="0"/>
        <w:ind w:firstLine="420"/>
        <w:rPr>
          <w:rFonts w:ascii="Times New Roman" w:hAnsi="Times New Roman" w:cs="Times New Roman"/>
          <w:color w:val="000000" w:themeColor="text1"/>
          <w:highlight w:val="none"/>
          <w14:textFill>
            <w14:solidFill>
              <w14:schemeClr w14:val="tx1"/>
            </w14:solidFill>
          </w14:textFill>
        </w:rPr>
      </w:pPr>
    </w:p>
    <w:p w14:paraId="68491084">
      <w:pPr>
        <w:keepNext w:val="0"/>
        <w:keepLines w:val="0"/>
        <w:pageBreakBefore w:val="0"/>
        <w:widowControl w:val="0"/>
        <w:kinsoku/>
        <w:overflowPunct/>
        <w:bidi w:val="0"/>
        <w:spacing w:line="360" w:lineRule="auto"/>
        <w:ind w:firstLine="562"/>
        <w:jc w:val="center"/>
        <w:rPr>
          <w:rFonts w:ascii="Times New Roman" w:hAnsi="Times New Roman"/>
          <w:b/>
          <w:color w:val="000000" w:themeColor="text1"/>
          <w:sz w:val="28"/>
          <w:szCs w:val="28"/>
          <w:highlight w:val="none"/>
          <w14:textFill>
            <w14:solidFill>
              <w14:schemeClr w14:val="tx1"/>
            </w14:solidFill>
          </w14:textFill>
        </w:rPr>
      </w:pPr>
      <w:r>
        <w:rPr>
          <w:rFonts w:ascii="Times New Roman" w:hAnsi="Times New Roman"/>
          <w:b/>
          <w:color w:val="000000" w:themeColor="text1"/>
          <w:sz w:val="28"/>
          <w:szCs w:val="28"/>
          <w:highlight w:val="none"/>
          <w14:textFill>
            <w14:solidFill>
              <w14:schemeClr w14:val="tx1"/>
            </w14:solidFill>
          </w14:textFill>
        </w:rPr>
        <w:t>商务、技术文件部分</w:t>
      </w:r>
    </w:p>
    <w:p w14:paraId="723D3D34">
      <w:pPr>
        <w:pStyle w:val="18"/>
        <w:keepNext w:val="0"/>
        <w:keepLines w:val="0"/>
        <w:pageBreakBefore w:val="0"/>
        <w:widowControl w:val="0"/>
        <w:kinsoku/>
        <w:overflowPunct/>
        <w:bidi w:val="0"/>
        <w:ind w:firstLine="420"/>
        <w:rPr>
          <w:rFonts w:ascii="Times New Roman" w:hAnsi="Times New Roman" w:cs="Times New Roman"/>
          <w:color w:val="000000" w:themeColor="text1"/>
          <w:highlight w:val="none"/>
          <w14:textFill>
            <w14:solidFill>
              <w14:schemeClr w14:val="tx1"/>
            </w14:solidFill>
          </w14:textFill>
        </w:rPr>
      </w:pPr>
    </w:p>
    <w:p w14:paraId="4B161A09">
      <w:pPr>
        <w:pStyle w:val="13"/>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sz w:val="24"/>
          <w:szCs w:val="22"/>
          <w:highlight w:val="none"/>
        </w:rPr>
      </w:pPr>
      <w:r>
        <w:rPr>
          <w:rFonts w:ascii="Times New Roman" w:hAnsi="Times New Roman"/>
          <w:sz w:val="24"/>
          <w:szCs w:val="22"/>
          <w:highlight w:val="none"/>
        </w:rPr>
        <w:t>1</w:t>
      </w:r>
      <w:r>
        <w:rPr>
          <w:rFonts w:hint="eastAsia" w:ascii="Times New Roman" w:hAnsi="Times New Roman"/>
          <w:sz w:val="24"/>
          <w:szCs w:val="22"/>
          <w:highlight w:val="none"/>
        </w:rPr>
        <w:t>.</w:t>
      </w:r>
      <w:r>
        <w:rPr>
          <w:rFonts w:ascii="Times New Roman" w:hAnsi="Times New Roman"/>
          <w:sz w:val="24"/>
          <w:szCs w:val="22"/>
          <w:highlight w:val="none"/>
        </w:rPr>
        <w:t>法定代表人（负责人）身份证明书………………………………………………</w:t>
      </w:r>
    </w:p>
    <w:p w14:paraId="40CF6298">
      <w:pPr>
        <w:pStyle w:val="13"/>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sz w:val="24"/>
          <w:szCs w:val="22"/>
          <w:highlight w:val="none"/>
        </w:rPr>
      </w:pPr>
      <w:r>
        <w:rPr>
          <w:rFonts w:ascii="Times New Roman" w:hAnsi="Times New Roman"/>
          <w:sz w:val="24"/>
          <w:szCs w:val="22"/>
          <w:highlight w:val="none"/>
        </w:rPr>
        <w:t>2</w:t>
      </w:r>
      <w:r>
        <w:rPr>
          <w:rFonts w:hint="eastAsia" w:ascii="Times New Roman" w:hAnsi="Times New Roman"/>
          <w:sz w:val="24"/>
          <w:szCs w:val="22"/>
          <w:highlight w:val="none"/>
        </w:rPr>
        <w:t>.</w:t>
      </w:r>
      <w:r>
        <w:rPr>
          <w:rFonts w:ascii="Times New Roman" w:hAnsi="Times New Roman"/>
          <w:sz w:val="24"/>
          <w:szCs w:val="22"/>
          <w:highlight w:val="none"/>
        </w:rPr>
        <w:t>法定代表人（负责人）授权委托书………………………………………………</w:t>
      </w:r>
    </w:p>
    <w:p w14:paraId="669B6E77">
      <w:pPr>
        <w:pStyle w:val="13"/>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sz w:val="24"/>
          <w:szCs w:val="22"/>
          <w:highlight w:val="none"/>
        </w:rPr>
      </w:pPr>
      <w:r>
        <w:rPr>
          <w:rFonts w:ascii="Times New Roman" w:hAnsi="Times New Roman"/>
          <w:sz w:val="24"/>
          <w:szCs w:val="22"/>
          <w:highlight w:val="none"/>
        </w:rPr>
        <w:t>3</w:t>
      </w:r>
      <w:r>
        <w:rPr>
          <w:rFonts w:hint="eastAsia" w:ascii="Times New Roman" w:hAnsi="Times New Roman"/>
          <w:sz w:val="24"/>
          <w:szCs w:val="22"/>
          <w:highlight w:val="none"/>
        </w:rPr>
        <w:t>.投标</w:t>
      </w:r>
      <w:r>
        <w:rPr>
          <w:rFonts w:ascii="Times New Roman" w:hAnsi="Times New Roman"/>
          <w:sz w:val="24"/>
          <w:szCs w:val="22"/>
          <w:highlight w:val="none"/>
        </w:rPr>
        <w:t>函………………………………………………………………………………</w:t>
      </w:r>
    </w:p>
    <w:p w14:paraId="4E27FF58">
      <w:pPr>
        <w:pStyle w:val="13"/>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sz w:val="24"/>
          <w:szCs w:val="22"/>
          <w:highlight w:val="none"/>
        </w:rPr>
      </w:pPr>
      <w:r>
        <w:rPr>
          <w:rFonts w:ascii="Times New Roman" w:hAnsi="Times New Roman"/>
          <w:sz w:val="24"/>
          <w:szCs w:val="22"/>
          <w:highlight w:val="none"/>
        </w:rPr>
        <w:t>4</w:t>
      </w:r>
      <w:r>
        <w:rPr>
          <w:rFonts w:hint="eastAsia" w:ascii="Times New Roman" w:hAnsi="Times New Roman"/>
          <w:sz w:val="24"/>
          <w:szCs w:val="22"/>
          <w:highlight w:val="none"/>
        </w:rPr>
        <w:t>.开标一览表</w:t>
      </w:r>
      <w:r>
        <w:rPr>
          <w:rFonts w:ascii="Times New Roman" w:hAnsi="Times New Roman"/>
          <w:sz w:val="24"/>
          <w:szCs w:val="22"/>
          <w:highlight w:val="none"/>
        </w:rPr>
        <w:t>…………………………………………………………………………</w:t>
      </w:r>
    </w:p>
    <w:p w14:paraId="0CF2223E">
      <w:pPr>
        <w:pStyle w:val="13"/>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sz w:val="24"/>
          <w:szCs w:val="22"/>
          <w:highlight w:val="none"/>
        </w:rPr>
      </w:pPr>
      <w:r>
        <w:rPr>
          <w:rFonts w:ascii="Times New Roman" w:hAnsi="Times New Roman"/>
          <w:sz w:val="24"/>
          <w:szCs w:val="22"/>
          <w:highlight w:val="none"/>
        </w:rPr>
        <w:t>5</w:t>
      </w:r>
      <w:r>
        <w:rPr>
          <w:rFonts w:hint="eastAsia" w:ascii="Times New Roman" w:hAnsi="Times New Roman"/>
          <w:sz w:val="24"/>
          <w:szCs w:val="22"/>
          <w:highlight w:val="none"/>
        </w:rPr>
        <w:t>.</w:t>
      </w:r>
      <w:r>
        <w:rPr>
          <w:rFonts w:hint="eastAsia" w:ascii="Times New Roman" w:hAnsi="Times New Roman"/>
          <w:sz w:val="24"/>
          <w:szCs w:val="22"/>
          <w:highlight w:val="none"/>
          <w:lang w:eastAsia="zh-CN"/>
        </w:rPr>
        <w:t>投标文件商务要求响应表</w:t>
      </w:r>
      <w:r>
        <w:rPr>
          <w:rFonts w:ascii="Times New Roman" w:hAnsi="Times New Roman"/>
          <w:sz w:val="24"/>
          <w:szCs w:val="22"/>
          <w:highlight w:val="none"/>
        </w:rPr>
        <w:t>…………………………………………………………</w:t>
      </w:r>
    </w:p>
    <w:p w14:paraId="6ADB24C8">
      <w:pPr>
        <w:pStyle w:val="13"/>
        <w:keepNext w:val="0"/>
        <w:keepLines w:val="0"/>
        <w:pageBreakBefore w:val="0"/>
        <w:widowControl w:val="0"/>
        <w:kinsoku/>
        <w:overflowPunct/>
        <w:topLinePunct/>
        <w:bidi w:val="0"/>
        <w:adjustRightInd w:val="0"/>
        <w:snapToGrid w:val="0"/>
        <w:spacing w:line="360" w:lineRule="auto"/>
        <w:ind w:firstLine="480" w:firstLineChars="200"/>
        <w:rPr>
          <w:rFonts w:hint="eastAsia" w:ascii="Times New Roman" w:hAnsi="Times New Roman" w:eastAsia="宋体" w:cs="Times New Roman"/>
          <w:sz w:val="24"/>
          <w:szCs w:val="22"/>
          <w:highlight w:val="none"/>
        </w:rPr>
      </w:pPr>
      <w:r>
        <w:rPr>
          <w:rFonts w:hint="eastAsia" w:ascii="Times New Roman" w:hAnsi="Times New Roman" w:eastAsia="宋体" w:cs="Times New Roman"/>
          <w:sz w:val="24"/>
          <w:szCs w:val="22"/>
          <w:highlight w:val="none"/>
        </w:rPr>
        <w:t>6.</w:t>
      </w:r>
      <w:r>
        <w:rPr>
          <w:rFonts w:hint="eastAsia" w:ascii="Times New Roman" w:hAnsi="Times New Roman" w:cs="Times New Roman"/>
          <w:sz w:val="24"/>
          <w:szCs w:val="22"/>
          <w:highlight w:val="none"/>
          <w:lang w:eastAsia="zh-CN"/>
        </w:rPr>
        <w:t>投标文件技术要求响应表</w:t>
      </w:r>
      <w:r>
        <w:rPr>
          <w:rFonts w:ascii="Times New Roman" w:hAnsi="Times New Roman"/>
          <w:sz w:val="24"/>
          <w:szCs w:val="22"/>
          <w:highlight w:val="none"/>
        </w:rPr>
        <w:t>…………………………………………………………</w:t>
      </w:r>
    </w:p>
    <w:p w14:paraId="4E49EC77">
      <w:pPr>
        <w:pStyle w:val="13"/>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sz w:val="24"/>
          <w:szCs w:val="22"/>
          <w:highlight w:val="none"/>
        </w:rPr>
      </w:pPr>
      <w:r>
        <w:rPr>
          <w:rFonts w:hint="eastAsia" w:ascii="Times New Roman" w:hAnsi="Times New Roman" w:eastAsia="宋体" w:cs="Times New Roman"/>
          <w:sz w:val="24"/>
          <w:szCs w:val="22"/>
          <w:highlight w:val="none"/>
        </w:rPr>
        <w:t>7.</w:t>
      </w:r>
      <w:r>
        <w:rPr>
          <w:rFonts w:hint="eastAsia" w:ascii="Times New Roman" w:hAnsi="Times New Roman" w:eastAsia="宋体" w:cs="Times New Roman"/>
          <w:sz w:val="24"/>
          <w:szCs w:val="22"/>
          <w:highlight w:val="none"/>
          <w:lang w:val="en-US" w:eastAsia="zh-CN"/>
        </w:rPr>
        <w:t>投标</w:t>
      </w:r>
      <w:r>
        <w:rPr>
          <w:rFonts w:hint="eastAsia" w:ascii="Times New Roman" w:hAnsi="Times New Roman"/>
          <w:sz w:val="24"/>
          <w:szCs w:val="22"/>
          <w:highlight w:val="none"/>
          <w:lang w:val="en-US" w:eastAsia="zh-CN"/>
        </w:rPr>
        <w:t>人业绩</w:t>
      </w:r>
      <w:r>
        <w:rPr>
          <w:rFonts w:ascii="Times New Roman" w:hAnsi="Times New Roman"/>
          <w:sz w:val="24"/>
          <w:szCs w:val="22"/>
          <w:highlight w:val="none"/>
        </w:rPr>
        <w:t>…………………………………………………………………………</w:t>
      </w:r>
    </w:p>
    <w:p w14:paraId="67EB2ABF">
      <w:pPr>
        <w:pStyle w:val="13"/>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sz w:val="24"/>
          <w:szCs w:val="22"/>
          <w:highlight w:val="none"/>
        </w:rPr>
      </w:pPr>
      <w:r>
        <w:rPr>
          <w:rFonts w:ascii="Times New Roman" w:hAnsi="Times New Roman"/>
          <w:sz w:val="24"/>
          <w:szCs w:val="22"/>
          <w:highlight w:val="none"/>
        </w:rPr>
        <w:t>8</w:t>
      </w:r>
      <w:r>
        <w:rPr>
          <w:rFonts w:hint="eastAsia" w:ascii="Times New Roman" w:hAnsi="Times New Roman"/>
          <w:sz w:val="24"/>
          <w:szCs w:val="22"/>
          <w:highlight w:val="none"/>
        </w:rPr>
        <w:t>.</w:t>
      </w:r>
      <w:r>
        <w:rPr>
          <w:rFonts w:hint="eastAsia" w:ascii="宋体" w:hAnsi="宋体" w:eastAsia="宋体" w:cs="宋体"/>
          <w:color w:val="auto"/>
          <w:sz w:val="24"/>
          <w:szCs w:val="24"/>
          <w:highlight w:val="none"/>
          <w:lang w:val="en-US" w:eastAsia="zh-CN"/>
        </w:rPr>
        <w:t>企业信誉</w:t>
      </w:r>
      <w:r>
        <w:rPr>
          <w:rFonts w:ascii="Times New Roman" w:hAnsi="Times New Roman"/>
          <w:sz w:val="24"/>
          <w:szCs w:val="22"/>
          <w:highlight w:val="none"/>
        </w:rPr>
        <w:t>……………………………………………………………………………</w:t>
      </w:r>
    </w:p>
    <w:p w14:paraId="1D9F65A3">
      <w:pPr>
        <w:pStyle w:val="13"/>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sz w:val="24"/>
          <w:szCs w:val="22"/>
          <w:highlight w:val="none"/>
        </w:rPr>
      </w:pPr>
      <w:r>
        <w:rPr>
          <w:rFonts w:ascii="Times New Roman" w:hAnsi="Times New Roman"/>
          <w:sz w:val="24"/>
          <w:szCs w:val="22"/>
          <w:highlight w:val="none"/>
        </w:rPr>
        <w:t>9</w:t>
      </w:r>
      <w:r>
        <w:rPr>
          <w:rFonts w:hint="eastAsia" w:ascii="Times New Roman" w:hAnsi="Times New Roman"/>
          <w:sz w:val="24"/>
          <w:szCs w:val="22"/>
          <w:highlight w:val="none"/>
        </w:rPr>
        <w:t>.</w:t>
      </w:r>
      <w:r>
        <w:rPr>
          <w:rFonts w:hint="eastAsia" w:ascii="宋体" w:hAnsi="宋体" w:eastAsia="宋体" w:cs="宋体"/>
          <w:color w:val="auto"/>
          <w:sz w:val="24"/>
          <w:szCs w:val="24"/>
          <w:highlight w:val="none"/>
          <w:lang w:val="en-US" w:eastAsia="zh-CN"/>
        </w:rPr>
        <w:t>服务方案</w:t>
      </w:r>
      <w:r>
        <w:rPr>
          <w:rFonts w:ascii="Times New Roman" w:hAnsi="Times New Roman"/>
          <w:sz w:val="24"/>
          <w:szCs w:val="22"/>
          <w:highlight w:val="none"/>
        </w:rPr>
        <w:t>……………………………………………………………………………</w:t>
      </w:r>
    </w:p>
    <w:p w14:paraId="172B2226">
      <w:pPr>
        <w:pStyle w:val="13"/>
        <w:keepNext w:val="0"/>
        <w:keepLines w:val="0"/>
        <w:pageBreakBefore w:val="0"/>
        <w:widowControl w:val="0"/>
        <w:kinsoku/>
        <w:overflowPunct/>
        <w:topLinePunct/>
        <w:bidi w:val="0"/>
        <w:adjustRightInd w:val="0"/>
        <w:snapToGrid w:val="0"/>
        <w:spacing w:line="360" w:lineRule="auto"/>
        <w:ind w:firstLine="480" w:firstLineChars="200"/>
        <w:rPr>
          <w:rFonts w:hint="eastAsia" w:ascii="Times New Roman" w:hAnsi="Times New Roman" w:eastAsia="宋体"/>
          <w:sz w:val="24"/>
          <w:szCs w:val="22"/>
          <w:highlight w:val="none"/>
          <w:lang w:val="en-US" w:eastAsia="zh-CN"/>
        </w:rPr>
      </w:pPr>
      <w:r>
        <w:rPr>
          <w:rFonts w:ascii="Times New Roman" w:hAnsi="Times New Roman"/>
          <w:sz w:val="24"/>
          <w:szCs w:val="22"/>
          <w:highlight w:val="none"/>
        </w:rPr>
        <w:t>10.</w:t>
      </w:r>
      <w:r>
        <w:rPr>
          <w:rFonts w:hint="eastAsia" w:ascii="Times New Roman" w:hAnsi="Times New Roman"/>
          <w:sz w:val="24"/>
          <w:szCs w:val="22"/>
          <w:highlight w:val="none"/>
          <w:lang w:val="en-US" w:eastAsia="zh-CN"/>
        </w:rPr>
        <w:t>技术方案</w:t>
      </w:r>
      <w:r>
        <w:rPr>
          <w:rFonts w:ascii="Times New Roman" w:hAnsi="Times New Roman"/>
          <w:sz w:val="24"/>
          <w:szCs w:val="22"/>
          <w:highlight w:val="none"/>
        </w:rPr>
        <w:t>…………………………………………………………………………</w:t>
      </w:r>
    </w:p>
    <w:p w14:paraId="6FCC75C2">
      <w:pPr>
        <w:pStyle w:val="13"/>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sz w:val="24"/>
          <w:szCs w:val="22"/>
          <w:highlight w:val="none"/>
        </w:rPr>
      </w:pPr>
      <w:r>
        <w:rPr>
          <w:rFonts w:hint="eastAsia" w:ascii="Times New Roman" w:hAnsi="Times New Roman"/>
          <w:sz w:val="24"/>
          <w:szCs w:val="22"/>
          <w:highlight w:val="none"/>
          <w:lang w:val="en-US" w:eastAsia="zh-CN"/>
        </w:rPr>
        <w:t>11.</w:t>
      </w:r>
      <w:r>
        <w:rPr>
          <w:rFonts w:hint="eastAsia" w:ascii="Times New Roman" w:hAnsi="Times New Roman"/>
          <w:sz w:val="24"/>
          <w:szCs w:val="22"/>
          <w:highlight w:val="none"/>
        </w:rPr>
        <w:t>投标人</w:t>
      </w:r>
      <w:r>
        <w:rPr>
          <w:rFonts w:ascii="Times New Roman" w:hAnsi="Times New Roman"/>
          <w:sz w:val="24"/>
          <w:szCs w:val="22"/>
          <w:highlight w:val="none"/>
        </w:rPr>
        <w:t>认为需要提供的其他商务、技术材料…………………………………</w:t>
      </w:r>
    </w:p>
    <w:p w14:paraId="448F46EB">
      <w:pPr>
        <w:pStyle w:val="13"/>
        <w:keepNext w:val="0"/>
        <w:keepLines w:val="0"/>
        <w:pageBreakBefore w:val="0"/>
        <w:widowControl w:val="0"/>
        <w:kinsoku/>
        <w:overflowPunct/>
        <w:topLinePunct/>
        <w:bidi w:val="0"/>
        <w:adjustRightInd w:val="0"/>
        <w:snapToGrid w:val="0"/>
        <w:spacing w:line="360" w:lineRule="auto"/>
        <w:ind w:firstLine="480" w:firstLineChars="200"/>
        <w:rPr>
          <w:rFonts w:ascii="Times New Roman" w:hAnsi="Times New Roman"/>
          <w:sz w:val="24"/>
          <w:szCs w:val="22"/>
          <w:highlight w:val="none"/>
        </w:rPr>
      </w:pPr>
      <w:r>
        <w:rPr>
          <w:rFonts w:ascii="Times New Roman" w:hAnsi="Times New Roman"/>
          <w:sz w:val="24"/>
          <w:szCs w:val="22"/>
          <w:highlight w:val="none"/>
        </w:rPr>
        <w:t>1</w:t>
      </w:r>
      <w:r>
        <w:rPr>
          <w:rFonts w:hint="eastAsia" w:ascii="Times New Roman" w:hAnsi="Times New Roman"/>
          <w:sz w:val="24"/>
          <w:szCs w:val="22"/>
          <w:highlight w:val="none"/>
          <w:lang w:val="en-US" w:eastAsia="zh-CN"/>
        </w:rPr>
        <w:t>2</w:t>
      </w:r>
      <w:r>
        <w:rPr>
          <w:rFonts w:ascii="Times New Roman" w:hAnsi="Times New Roman"/>
          <w:sz w:val="24"/>
          <w:szCs w:val="22"/>
          <w:highlight w:val="none"/>
        </w:rPr>
        <w:t>政府采购政策性要求</w:t>
      </w:r>
      <w:r>
        <w:rPr>
          <w:rFonts w:hint="eastAsia" w:ascii="Times New Roman" w:hAnsi="Times New Roman"/>
          <w:sz w:val="24"/>
          <w:szCs w:val="22"/>
          <w:highlight w:val="none"/>
        </w:rPr>
        <w:t>证明材料</w:t>
      </w:r>
      <w:r>
        <w:rPr>
          <w:rFonts w:ascii="Times New Roman" w:hAnsi="Times New Roman"/>
          <w:sz w:val="24"/>
          <w:szCs w:val="22"/>
          <w:highlight w:val="none"/>
        </w:rPr>
        <w:t>…………………………………………………</w:t>
      </w:r>
    </w:p>
    <w:p w14:paraId="13578DBB">
      <w:pPr>
        <w:keepNext w:val="0"/>
        <w:keepLines w:val="0"/>
        <w:pageBreakBefore w:val="0"/>
        <w:widowControl w:val="0"/>
        <w:kinsoku/>
        <w:overflowPunct/>
        <w:bidi w:val="0"/>
        <w:jc w:val="left"/>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br w:type="page"/>
      </w:r>
    </w:p>
    <w:p w14:paraId="7ED37E8C">
      <w:pPr>
        <w:keepNext w:val="0"/>
        <w:keepLines w:val="0"/>
        <w:pageBreakBefore w:val="0"/>
        <w:widowControl w:val="0"/>
        <w:tabs>
          <w:tab w:val="left" w:pos="2070"/>
          <w:tab w:val="center" w:pos="4365"/>
        </w:tabs>
        <w:kinsoku/>
        <w:overflowPunct/>
        <w:bidi w:val="0"/>
        <w:snapToGrid w:val="0"/>
        <w:spacing w:line="360" w:lineRule="auto"/>
        <w:ind w:firstLine="643"/>
        <w:jc w:val="center"/>
        <w:outlineLvl w:val="0"/>
        <w:rPr>
          <w:rFonts w:ascii="Times New Roman" w:hAnsi="Times New Roman"/>
          <w:b/>
          <w:color w:val="000000" w:themeColor="text1"/>
          <w:kern w:val="0"/>
          <w:sz w:val="32"/>
          <w:szCs w:val="32"/>
          <w:highlight w:val="none"/>
          <w14:textFill>
            <w14:solidFill>
              <w14:schemeClr w14:val="tx1"/>
            </w14:solidFill>
          </w14:textFill>
        </w:rPr>
      </w:pPr>
      <w:bookmarkStart w:id="79" w:name="_Toc180347485"/>
      <w:r>
        <w:rPr>
          <w:rFonts w:ascii="Times New Roman" w:hAnsi="Times New Roman"/>
          <w:b/>
          <w:color w:val="000000" w:themeColor="text1"/>
          <w:kern w:val="0"/>
          <w:sz w:val="32"/>
          <w:szCs w:val="32"/>
          <w:highlight w:val="none"/>
          <w14:textFill>
            <w14:solidFill>
              <w14:schemeClr w14:val="tx1"/>
            </w14:solidFill>
          </w14:textFill>
        </w:rPr>
        <w:t>商务、技术部分</w:t>
      </w:r>
      <w:bookmarkEnd w:id="79"/>
    </w:p>
    <w:p w14:paraId="30F79C48">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bookmarkStart w:id="80" w:name="_Toc180347486"/>
      <w:r>
        <w:rPr>
          <w:rFonts w:ascii="宋体" w:hAnsi="宋体"/>
          <w:b/>
          <w:kern w:val="0"/>
          <w:sz w:val="24"/>
          <w:highlight w:val="none"/>
        </w:rPr>
        <w:t>1．法定代表人（负责人）身份证明书</w:t>
      </w:r>
      <w:bookmarkEnd w:id="80"/>
    </w:p>
    <w:p w14:paraId="13E2A9EE">
      <w:pPr>
        <w:keepNext w:val="0"/>
        <w:keepLines w:val="0"/>
        <w:pageBreakBefore w:val="0"/>
        <w:widowControl w:val="0"/>
        <w:kinsoku/>
        <w:overflowPunct/>
        <w:bidi w:val="0"/>
        <w:snapToGrid w:val="0"/>
        <w:spacing w:line="360" w:lineRule="auto"/>
        <w:ind w:firstLine="562"/>
        <w:rPr>
          <w:rFonts w:ascii="Times New Roman" w:hAnsi="Times New Roman"/>
          <w:b/>
          <w:color w:val="000000" w:themeColor="text1"/>
          <w:kern w:val="0"/>
          <w:sz w:val="28"/>
          <w:szCs w:val="28"/>
          <w:highlight w:val="none"/>
          <w14:textFill>
            <w14:solidFill>
              <w14:schemeClr w14:val="tx1"/>
            </w14:solidFill>
          </w14:textFill>
        </w:rPr>
      </w:pPr>
    </w:p>
    <w:p w14:paraId="0EE14F22">
      <w:pPr>
        <w:keepNext w:val="0"/>
        <w:keepLines w:val="0"/>
        <w:pageBreakBefore w:val="0"/>
        <w:widowControl w:val="0"/>
        <w:kinsoku/>
        <w:overflowPunct/>
        <w:topLinePunct/>
        <w:bidi w:val="0"/>
        <w:adjustRightInd w:val="0"/>
        <w:snapToGrid w:val="0"/>
        <w:spacing w:line="360" w:lineRule="auto"/>
        <w:jc w:val="center"/>
        <w:rPr>
          <w:b/>
          <w:kern w:val="0"/>
          <w:sz w:val="28"/>
          <w:szCs w:val="28"/>
          <w:highlight w:val="none"/>
        </w:rPr>
      </w:pPr>
      <w:r>
        <w:rPr>
          <w:b/>
          <w:kern w:val="0"/>
          <w:sz w:val="28"/>
          <w:szCs w:val="28"/>
          <w:highlight w:val="none"/>
        </w:rPr>
        <w:t xml:space="preserve">法定代表人（负责人）身份证明书 </w:t>
      </w:r>
    </w:p>
    <w:p w14:paraId="3B4B948F">
      <w:pPr>
        <w:keepNext w:val="0"/>
        <w:keepLines w:val="0"/>
        <w:pageBreakBefore w:val="0"/>
        <w:widowControl w:val="0"/>
        <w:kinsoku/>
        <w:overflowPunct/>
        <w:topLinePunct/>
        <w:bidi w:val="0"/>
        <w:adjustRightInd w:val="0"/>
        <w:snapToGrid w:val="0"/>
        <w:spacing w:line="360" w:lineRule="auto"/>
        <w:ind w:firstLine="480" w:firstLineChars="200"/>
        <w:jc w:val="left"/>
        <w:rPr>
          <w:kern w:val="0"/>
          <w:sz w:val="24"/>
          <w:highlight w:val="none"/>
        </w:rPr>
      </w:pPr>
      <w:r>
        <w:rPr>
          <w:kern w:val="0"/>
          <w:sz w:val="24"/>
          <w:highlight w:val="none"/>
        </w:rPr>
        <w:t>单位名称：</w:t>
      </w:r>
      <w:r>
        <w:rPr>
          <w:kern w:val="0"/>
          <w:sz w:val="24"/>
          <w:highlight w:val="none"/>
          <w:u w:val="single"/>
        </w:rPr>
        <w:t xml:space="preserve">               </w:t>
      </w:r>
      <w:r>
        <w:rPr>
          <w:rFonts w:hint="eastAsia"/>
          <w:kern w:val="0"/>
          <w:sz w:val="24"/>
          <w:highlight w:val="none"/>
          <w:u w:val="single"/>
        </w:rPr>
        <w:t xml:space="preserve">                                  </w:t>
      </w:r>
      <w:r>
        <w:rPr>
          <w:rFonts w:hint="eastAsia"/>
          <w:kern w:val="0"/>
          <w:sz w:val="24"/>
          <w:highlight w:val="none"/>
          <w:u w:val="single"/>
        </w:rPr>
        <w:tab/>
      </w:r>
    </w:p>
    <w:p w14:paraId="64F5C6AA">
      <w:pPr>
        <w:keepNext w:val="0"/>
        <w:keepLines w:val="0"/>
        <w:pageBreakBefore w:val="0"/>
        <w:widowControl w:val="0"/>
        <w:kinsoku/>
        <w:overflowPunct/>
        <w:topLinePunct/>
        <w:bidi w:val="0"/>
        <w:adjustRightInd w:val="0"/>
        <w:snapToGrid w:val="0"/>
        <w:spacing w:line="360" w:lineRule="auto"/>
        <w:ind w:firstLine="480" w:firstLineChars="200"/>
        <w:jc w:val="left"/>
        <w:rPr>
          <w:kern w:val="0"/>
          <w:sz w:val="24"/>
          <w:highlight w:val="none"/>
        </w:rPr>
      </w:pPr>
      <w:r>
        <w:rPr>
          <w:kern w:val="0"/>
          <w:sz w:val="24"/>
          <w:highlight w:val="none"/>
        </w:rPr>
        <w:t>单位性质：</w:t>
      </w:r>
      <w:r>
        <w:rPr>
          <w:kern w:val="0"/>
          <w:sz w:val="24"/>
          <w:highlight w:val="none"/>
          <w:u w:val="single"/>
        </w:rPr>
        <w:t xml:space="preserve">               </w:t>
      </w:r>
      <w:r>
        <w:rPr>
          <w:rFonts w:hint="eastAsia"/>
          <w:kern w:val="0"/>
          <w:sz w:val="24"/>
          <w:highlight w:val="none"/>
          <w:u w:val="single"/>
        </w:rPr>
        <w:t xml:space="preserve">                                  </w:t>
      </w:r>
      <w:r>
        <w:rPr>
          <w:rFonts w:hint="eastAsia"/>
          <w:kern w:val="0"/>
          <w:sz w:val="24"/>
          <w:highlight w:val="none"/>
          <w:u w:val="single"/>
        </w:rPr>
        <w:tab/>
      </w:r>
    </w:p>
    <w:p w14:paraId="078D09E6">
      <w:pPr>
        <w:keepNext w:val="0"/>
        <w:keepLines w:val="0"/>
        <w:pageBreakBefore w:val="0"/>
        <w:widowControl w:val="0"/>
        <w:kinsoku/>
        <w:overflowPunct/>
        <w:topLinePunct/>
        <w:bidi w:val="0"/>
        <w:adjustRightInd w:val="0"/>
        <w:snapToGrid w:val="0"/>
        <w:spacing w:line="360" w:lineRule="auto"/>
        <w:ind w:firstLine="480" w:firstLineChars="200"/>
        <w:jc w:val="left"/>
        <w:rPr>
          <w:kern w:val="0"/>
          <w:sz w:val="24"/>
          <w:highlight w:val="none"/>
        </w:rPr>
      </w:pPr>
      <w:r>
        <w:rPr>
          <w:kern w:val="0"/>
          <w:sz w:val="24"/>
          <w:highlight w:val="none"/>
        </w:rPr>
        <w:t>地    址：</w:t>
      </w:r>
      <w:r>
        <w:rPr>
          <w:kern w:val="0"/>
          <w:sz w:val="24"/>
          <w:highlight w:val="none"/>
          <w:u w:val="single"/>
        </w:rPr>
        <w:t xml:space="preserve">               </w:t>
      </w:r>
      <w:r>
        <w:rPr>
          <w:rFonts w:hint="eastAsia"/>
          <w:kern w:val="0"/>
          <w:sz w:val="24"/>
          <w:highlight w:val="none"/>
          <w:u w:val="single"/>
        </w:rPr>
        <w:t xml:space="preserve">                                  </w:t>
      </w:r>
      <w:r>
        <w:rPr>
          <w:rFonts w:hint="eastAsia"/>
          <w:kern w:val="0"/>
          <w:sz w:val="24"/>
          <w:highlight w:val="none"/>
          <w:u w:val="single"/>
        </w:rPr>
        <w:tab/>
      </w:r>
    </w:p>
    <w:p w14:paraId="19D76E8E">
      <w:pPr>
        <w:keepNext w:val="0"/>
        <w:keepLines w:val="0"/>
        <w:pageBreakBefore w:val="0"/>
        <w:widowControl w:val="0"/>
        <w:kinsoku/>
        <w:overflowPunct/>
        <w:topLinePunct/>
        <w:bidi w:val="0"/>
        <w:adjustRightInd w:val="0"/>
        <w:snapToGrid w:val="0"/>
        <w:spacing w:line="360" w:lineRule="auto"/>
        <w:ind w:firstLine="480" w:firstLineChars="200"/>
        <w:jc w:val="left"/>
        <w:rPr>
          <w:kern w:val="0"/>
          <w:sz w:val="24"/>
          <w:highlight w:val="none"/>
        </w:rPr>
      </w:pPr>
      <w:r>
        <w:rPr>
          <w:kern w:val="0"/>
          <w:sz w:val="24"/>
          <w:highlight w:val="none"/>
        </w:rPr>
        <w:t>成立时间：</w:t>
      </w:r>
      <w:r>
        <w:rPr>
          <w:kern w:val="0"/>
          <w:sz w:val="24"/>
          <w:highlight w:val="none"/>
          <w:u w:val="single"/>
        </w:rPr>
        <w:t xml:space="preserve">               </w:t>
      </w:r>
      <w:r>
        <w:rPr>
          <w:kern w:val="0"/>
          <w:sz w:val="24"/>
          <w:highlight w:val="none"/>
        </w:rPr>
        <w:t>年</w:t>
      </w:r>
      <w:r>
        <w:rPr>
          <w:kern w:val="0"/>
          <w:sz w:val="24"/>
          <w:highlight w:val="none"/>
          <w:u w:val="single"/>
        </w:rPr>
        <w:t xml:space="preserve">               </w:t>
      </w:r>
      <w:r>
        <w:rPr>
          <w:kern w:val="0"/>
          <w:sz w:val="24"/>
          <w:highlight w:val="none"/>
        </w:rPr>
        <w:t>月</w:t>
      </w:r>
      <w:r>
        <w:rPr>
          <w:kern w:val="0"/>
          <w:sz w:val="24"/>
          <w:highlight w:val="none"/>
          <w:u w:val="single"/>
        </w:rPr>
        <w:t xml:space="preserve">               </w:t>
      </w:r>
      <w:r>
        <w:rPr>
          <w:kern w:val="0"/>
          <w:sz w:val="24"/>
          <w:highlight w:val="none"/>
        </w:rPr>
        <w:t>日</w:t>
      </w:r>
    </w:p>
    <w:p w14:paraId="6E5EAC22">
      <w:pPr>
        <w:keepNext w:val="0"/>
        <w:keepLines w:val="0"/>
        <w:pageBreakBefore w:val="0"/>
        <w:widowControl w:val="0"/>
        <w:kinsoku/>
        <w:overflowPunct/>
        <w:topLinePunct/>
        <w:bidi w:val="0"/>
        <w:adjustRightInd w:val="0"/>
        <w:snapToGrid w:val="0"/>
        <w:spacing w:line="360" w:lineRule="auto"/>
        <w:ind w:firstLine="480" w:firstLineChars="200"/>
        <w:jc w:val="left"/>
        <w:rPr>
          <w:kern w:val="0"/>
          <w:sz w:val="24"/>
          <w:highlight w:val="none"/>
          <w:u w:val="single"/>
        </w:rPr>
      </w:pPr>
      <w:r>
        <w:rPr>
          <w:kern w:val="0"/>
          <w:sz w:val="24"/>
          <w:highlight w:val="none"/>
        </w:rPr>
        <w:t>经营期限：</w:t>
      </w:r>
      <w:r>
        <w:rPr>
          <w:kern w:val="0"/>
          <w:sz w:val="24"/>
          <w:highlight w:val="none"/>
          <w:u w:val="single"/>
        </w:rPr>
        <w:t xml:space="preserve">               </w:t>
      </w:r>
      <w:r>
        <w:rPr>
          <w:rFonts w:hint="eastAsia"/>
          <w:kern w:val="0"/>
          <w:sz w:val="24"/>
          <w:highlight w:val="none"/>
          <w:u w:val="single"/>
        </w:rPr>
        <w:t xml:space="preserve">                                  </w:t>
      </w:r>
      <w:r>
        <w:rPr>
          <w:rFonts w:hint="eastAsia"/>
          <w:kern w:val="0"/>
          <w:sz w:val="24"/>
          <w:highlight w:val="none"/>
          <w:u w:val="single"/>
        </w:rPr>
        <w:tab/>
      </w:r>
    </w:p>
    <w:p w14:paraId="4D92EF47">
      <w:pPr>
        <w:keepNext w:val="0"/>
        <w:keepLines w:val="0"/>
        <w:pageBreakBefore w:val="0"/>
        <w:widowControl w:val="0"/>
        <w:kinsoku/>
        <w:overflowPunct/>
        <w:topLinePunct/>
        <w:bidi w:val="0"/>
        <w:adjustRightInd w:val="0"/>
        <w:snapToGrid w:val="0"/>
        <w:spacing w:line="360" w:lineRule="auto"/>
        <w:ind w:firstLine="480" w:firstLineChars="200"/>
        <w:jc w:val="left"/>
        <w:rPr>
          <w:kern w:val="0"/>
          <w:sz w:val="24"/>
          <w:highlight w:val="none"/>
        </w:rPr>
      </w:pPr>
      <w:r>
        <w:rPr>
          <w:kern w:val="0"/>
          <w:sz w:val="24"/>
          <w:highlight w:val="none"/>
        </w:rPr>
        <w:t>姓    名：</w:t>
      </w:r>
      <w:r>
        <w:rPr>
          <w:kern w:val="0"/>
          <w:sz w:val="24"/>
          <w:highlight w:val="none"/>
          <w:u w:val="single"/>
        </w:rPr>
        <w:t xml:space="preserve">              </w:t>
      </w:r>
      <w:r>
        <w:rPr>
          <w:kern w:val="0"/>
          <w:sz w:val="24"/>
          <w:highlight w:val="none"/>
        </w:rPr>
        <w:t>性  别：</w:t>
      </w:r>
      <w:r>
        <w:rPr>
          <w:kern w:val="0"/>
          <w:sz w:val="24"/>
          <w:highlight w:val="none"/>
          <w:u w:val="single"/>
        </w:rPr>
        <w:t xml:space="preserve">         </w:t>
      </w:r>
      <w:r>
        <w:rPr>
          <w:rFonts w:hint="eastAsia"/>
          <w:kern w:val="0"/>
          <w:sz w:val="24"/>
          <w:highlight w:val="none"/>
          <w:u w:val="single"/>
        </w:rPr>
        <w:tab/>
      </w:r>
    </w:p>
    <w:p w14:paraId="66FCC277">
      <w:pPr>
        <w:keepNext w:val="0"/>
        <w:keepLines w:val="0"/>
        <w:pageBreakBefore w:val="0"/>
        <w:widowControl w:val="0"/>
        <w:kinsoku/>
        <w:overflowPunct/>
        <w:topLinePunct/>
        <w:bidi w:val="0"/>
        <w:adjustRightInd w:val="0"/>
        <w:snapToGrid w:val="0"/>
        <w:spacing w:line="360" w:lineRule="auto"/>
        <w:ind w:firstLine="480" w:firstLineChars="200"/>
        <w:jc w:val="left"/>
        <w:rPr>
          <w:kern w:val="0"/>
          <w:sz w:val="24"/>
          <w:highlight w:val="none"/>
        </w:rPr>
      </w:pPr>
      <w:r>
        <w:rPr>
          <w:kern w:val="0"/>
          <w:sz w:val="24"/>
          <w:highlight w:val="none"/>
        </w:rPr>
        <w:t>年    龄：</w:t>
      </w:r>
      <w:r>
        <w:rPr>
          <w:kern w:val="0"/>
          <w:sz w:val="24"/>
          <w:highlight w:val="none"/>
          <w:u w:val="single"/>
        </w:rPr>
        <w:t xml:space="preserve">              </w:t>
      </w:r>
      <w:r>
        <w:rPr>
          <w:kern w:val="0"/>
          <w:sz w:val="24"/>
          <w:highlight w:val="none"/>
        </w:rPr>
        <w:t>职  务：</w:t>
      </w:r>
      <w:r>
        <w:rPr>
          <w:kern w:val="0"/>
          <w:sz w:val="24"/>
          <w:highlight w:val="none"/>
          <w:u w:val="single"/>
        </w:rPr>
        <w:t xml:space="preserve">         </w:t>
      </w:r>
      <w:r>
        <w:rPr>
          <w:rFonts w:hint="eastAsia"/>
          <w:kern w:val="0"/>
          <w:sz w:val="24"/>
          <w:highlight w:val="none"/>
          <w:u w:val="single"/>
        </w:rPr>
        <w:tab/>
      </w:r>
    </w:p>
    <w:p w14:paraId="3D2DF97A">
      <w:pPr>
        <w:keepNext w:val="0"/>
        <w:keepLines w:val="0"/>
        <w:pageBreakBefore w:val="0"/>
        <w:widowControl w:val="0"/>
        <w:kinsoku/>
        <w:overflowPunct/>
        <w:topLinePunct/>
        <w:bidi w:val="0"/>
        <w:adjustRightInd w:val="0"/>
        <w:snapToGrid w:val="0"/>
        <w:spacing w:line="360" w:lineRule="auto"/>
        <w:ind w:firstLine="480" w:firstLineChars="200"/>
        <w:jc w:val="left"/>
        <w:rPr>
          <w:kern w:val="0"/>
          <w:sz w:val="24"/>
          <w:highlight w:val="none"/>
        </w:rPr>
      </w:pPr>
      <w:r>
        <w:rPr>
          <w:kern w:val="0"/>
          <w:sz w:val="24"/>
          <w:highlight w:val="none"/>
        </w:rPr>
        <w:t>系</w:t>
      </w:r>
      <w:r>
        <w:rPr>
          <w:kern w:val="0"/>
          <w:sz w:val="24"/>
          <w:highlight w:val="none"/>
          <w:u w:val="single"/>
        </w:rPr>
        <w:t xml:space="preserve">       （</w:t>
      </w:r>
      <w:r>
        <w:rPr>
          <w:rFonts w:hint="eastAsia"/>
          <w:kern w:val="0"/>
          <w:sz w:val="24"/>
          <w:highlight w:val="none"/>
          <w:u w:val="single"/>
        </w:rPr>
        <w:t>投标人</w:t>
      </w:r>
      <w:r>
        <w:rPr>
          <w:kern w:val="0"/>
          <w:sz w:val="24"/>
          <w:highlight w:val="none"/>
          <w:u w:val="single"/>
        </w:rPr>
        <w:t xml:space="preserve">名称）          </w:t>
      </w:r>
      <w:r>
        <w:rPr>
          <w:kern w:val="0"/>
          <w:sz w:val="24"/>
          <w:highlight w:val="none"/>
        </w:rPr>
        <w:t>的法定代表人。</w:t>
      </w:r>
    </w:p>
    <w:p w14:paraId="696A2BE0">
      <w:pPr>
        <w:keepNext w:val="0"/>
        <w:keepLines w:val="0"/>
        <w:pageBreakBefore w:val="0"/>
        <w:widowControl w:val="0"/>
        <w:kinsoku/>
        <w:overflowPunct/>
        <w:topLinePunct/>
        <w:bidi w:val="0"/>
        <w:snapToGrid w:val="0"/>
        <w:spacing w:line="360" w:lineRule="auto"/>
        <w:ind w:firstLine="480" w:firstLineChars="200"/>
        <w:jc w:val="left"/>
        <w:rPr>
          <w:kern w:val="0"/>
          <w:sz w:val="24"/>
          <w:highlight w:val="none"/>
        </w:rPr>
      </w:pPr>
    </w:p>
    <w:p w14:paraId="4D6701AF">
      <w:pPr>
        <w:keepNext w:val="0"/>
        <w:keepLines w:val="0"/>
        <w:pageBreakBefore w:val="0"/>
        <w:widowControl w:val="0"/>
        <w:kinsoku/>
        <w:overflowPunct/>
        <w:topLinePunct/>
        <w:bidi w:val="0"/>
        <w:snapToGrid w:val="0"/>
        <w:spacing w:line="360" w:lineRule="auto"/>
        <w:ind w:firstLine="960" w:firstLineChars="400"/>
        <w:jc w:val="left"/>
        <w:rPr>
          <w:kern w:val="0"/>
          <w:sz w:val="24"/>
          <w:highlight w:val="none"/>
        </w:rPr>
      </w:pPr>
      <w:r>
        <w:rPr>
          <w:kern w:val="0"/>
          <w:sz w:val="24"/>
          <w:highlight w:val="none"/>
        </w:rPr>
        <w:t>特此证明。</w:t>
      </w:r>
    </w:p>
    <w:p w14:paraId="1755FFEE">
      <w:pPr>
        <w:keepNext w:val="0"/>
        <w:keepLines w:val="0"/>
        <w:pageBreakBefore w:val="0"/>
        <w:widowControl w:val="0"/>
        <w:kinsoku/>
        <w:overflowPunct/>
        <w:topLinePunct/>
        <w:bidi w:val="0"/>
        <w:snapToGrid w:val="0"/>
        <w:spacing w:line="360" w:lineRule="auto"/>
        <w:ind w:firstLine="480"/>
        <w:jc w:val="left"/>
        <w:rPr>
          <w:kern w:val="0"/>
          <w:sz w:val="24"/>
          <w:highlight w:val="none"/>
        </w:rPr>
      </w:pPr>
      <w:r>
        <w:rPr>
          <w:kern w:val="0"/>
          <w:sz w:val="24"/>
          <w:highlight w:val="none"/>
        </w:rPr>
        <w:t xml:space="preserve"> </w:t>
      </w:r>
    </w:p>
    <w:p w14:paraId="2861103B">
      <w:pPr>
        <w:keepNext w:val="0"/>
        <w:keepLines w:val="0"/>
        <w:pageBreakBefore w:val="0"/>
        <w:widowControl w:val="0"/>
        <w:kinsoku/>
        <w:overflowPunct/>
        <w:topLinePunct/>
        <w:bidi w:val="0"/>
        <w:adjustRightInd w:val="0"/>
        <w:snapToGrid w:val="0"/>
        <w:spacing w:line="360" w:lineRule="auto"/>
        <w:ind w:firstLine="3120" w:firstLineChars="1300"/>
        <w:rPr>
          <w:sz w:val="24"/>
          <w:highlight w:val="none"/>
        </w:rPr>
      </w:pPr>
      <w:r>
        <w:rPr>
          <w:rFonts w:hint="eastAsia"/>
          <w:sz w:val="24"/>
          <w:highlight w:val="none"/>
        </w:rPr>
        <w:t>投标人</w:t>
      </w:r>
      <w:r>
        <w:rPr>
          <w:sz w:val="24"/>
          <w:highlight w:val="none"/>
        </w:rPr>
        <w:t>名称：</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（盖章）</w:t>
      </w:r>
    </w:p>
    <w:p w14:paraId="3EF6A046">
      <w:pPr>
        <w:keepNext w:val="0"/>
        <w:keepLines w:val="0"/>
        <w:pageBreakBefore w:val="0"/>
        <w:widowControl w:val="0"/>
        <w:kinsoku/>
        <w:overflowPunct/>
        <w:topLinePunct/>
        <w:bidi w:val="0"/>
        <w:adjustRightInd w:val="0"/>
        <w:snapToGrid w:val="0"/>
        <w:spacing w:line="360" w:lineRule="auto"/>
        <w:ind w:firstLine="3120" w:firstLineChars="1300"/>
        <w:rPr>
          <w:highlight w:val="none"/>
        </w:rPr>
      </w:pPr>
      <w:r>
        <w:rPr>
          <w:sz w:val="24"/>
          <w:highlight w:val="none"/>
        </w:rPr>
        <w:t>法定代表人（负责人）：</w:t>
      </w:r>
      <w:r>
        <w:rPr>
          <w:sz w:val="24"/>
          <w:highlight w:val="none"/>
          <w:u w:val="single"/>
        </w:rPr>
        <w:t xml:space="preserve">          </w:t>
      </w:r>
      <w:r>
        <w:rPr>
          <w:sz w:val="24"/>
          <w:highlight w:val="none"/>
        </w:rPr>
        <w:t>（签字或盖章）</w:t>
      </w:r>
    </w:p>
    <w:p w14:paraId="02E4460D">
      <w:pPr>
        <w:keepNext w:val="0"/>
        <w:keepLines w:val="0"/>
        <w:pageBreakBefore w:val="0"/>
        <w:widowControl w:val="0"/>
        <w:kinsoku/>
        <w:overflowPunct/>
        <w:topLinePunct/>
        <w:bidi w:val="0"/>
        <w:spacing w:line="360" w:lineRule="auto"/>
        <w:ind w:firstLine="3120" w:firstLineChars="1300"/>
        <w:rPr>
          <w:sz w:val="24"/>
          <w:highlight w:val="none"/>
        </w:rPr>
      </w:pPr>
      <w:r>
        <w:rPr>
          <w:sz w:val="24"/>
          <w:highlight w:val="none"/>
        </w:rPr>
        <w:t>日      期：</w:t>
      </w:r>
    </w:p>
    <w:p w14:paraId="006C2D1C">
      <w:pPr>
        <w:keepNext w:val="0"/>
        <w:keepLines w:val="0"/>
        <w:pageBreakBefore w:val="0"/>
        <w:widowControl w:val="0"/>
        <w:kinsoku/>
        <w:overflowPunct/>
        <w:topLinePunct/>
        <w:bidi w:val="0"/>
        <w:spacing w:line="360" w:lineRule="auto"/>
        <w:ind w:firstLine="480"/>
        <w:rPr>
          <w:kern w:val="0"/>
          <w:sz w:val="24"/>
          <w:highlight w:val="none"/>
        </w:rPr>
      </w:pPr>
    </w:p>
    <w:p w14:paraId="3FA4CBED">
      <w:pPr>
        <w:keepNext w:val="0"/>
        <w:keepLines w:val="0"/>
        <w:pageBreakBefore w:val="0"/>
        <w:widowControl w:val="0"/>
        <w:kinsoku/>
        <w:overflowPunct/>
        <w:topLinePunct/>
        <w:bidi w:val="0"/>
        <w:spacing w:line="360" w:lineRule="auto"/>
        <w:ind w:firstLine="480"/>
        <w:rPr>
          <w:sz w:val="24"/>
          <w:highlight w:val="none"/>
        </w:rPr>
      </w:pPr>
      <w:r>
        <w:rPr>
          <w:kern w:val="0"/>
          <w:sz w:val="24"/>
          <w:highlight w:val="none"/>
        </w:rPr>
        <w:t>附：法定代表人（负责人）身份证明正反面扫描件或影印件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A23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13B71D75">
            <w:pPr>
              <w:keepNext w:val="0"/>
              <w:keepLines w:val="0"/>
              <w:pageBreakBefore w:val="0"/>
              <w:widowControl w:val="0"/>
              <w:kinsoku/>
              <w:overflowPunct/>
              <w:topLinePunct/>
              <w:bidi w:val="0"/>
              <w:spacing w:line="360" w:lineRule="auto"/>
              <w:ind w:firstLine="480"/>
              <w:rPr>
                <w:sz w:val="24"/>
                <w:highlight w:val="none"/>
              </w:rPr>
            </w:pPr>
          </w:p>
        </w:tc>
        <w:tc>
          <w:tcPr>
            <w:tcW w:w="4615" w:type="dxa"/>
          </w:tcPr>
          <w:p w14:paraId="7285BE1E">
            <w:pPr>
              <w:keepNext w:val="0"/>
              <w:keepLines w:val="0"/>
              <w:pageBreakBefore w:val="0"/>
              <w:widowControl w:val="0"/>
              <w:kinsoku/>
              <w:overflowPunct/>
              <w:topLinePunct/>
              <w:bidi w:val="0"/>
              <w:spacing w:line="360" w:lineRule="auto"/>
              <w:ind w:firstLine="480"/>
              <w:rPr>
                <w:sz w:val="24"/>
                <w:highlight w:val="none"/>
              </w:rPr>
            </w:pPr>
          </w:p>
        </w:tc>
      </w:tr>
    </w:tbl>
    <w:p w14:paraId="663B65C5">
      <w:pPr>
        <w:keepNext w:val="0"/>
        <w:keepLines w:val="0"/>
        <w:pageBreakBefore w:val="0"/>
        <w:widowControl w:val="0"/>
        <w:kinsoku/>
        <w:overflowPunct/>
        <w:topLinePunct/>
        <w:bidi w:val="0"/>
        <w:snapToGrid w:val="0"/>
        <w:spacing w:line="360" w:lineRule="auto"/>
        <w:ind w:firstLine="480"/>
        <w:rPr>
          <w:sz w:val="24"/>
          <w:highlight w:val="none"/>
        </w:rPr>
      </w:pPr>
    </w:p>
    <w:p w14:paraId="5EC99884">
      <w:pPr>
        <w:keepNext w:val="0"/>
        <w:keepLines w:val="0"/>
        <w:pageBreakBefore w:val="0"/>
        <w:widowControl w:val="0"/>
        <w:kinsoku/>
        <w:overflowPunct/>
        <w:bidi w:val="0"/>
        <w:snapToGrid w:val="0"/>
        <w:spacing w:line="360" w:lineRule="auto"/>
        <w:ind w:firstLine="480"/>
        <w:rPr>
          <w:rFonts w:ascii="Times New Roman" w:hAnsi="Times New Roman"/>
          <w:color w:val="000000" w:themeColor="text1"/>
          <w:sz w:val="24"/>
          <w:highlight w:val="none"/>
          <w14:textFill>
            <w14:solidFill>
              <w14:schemeClr w14:val="tx1"/>
            </w14:solidFill>
          </w14:textFill>
        </w:rPr>
      </w:pPr>
    </w:p>
    <w:p w14:paraId="5B96B6D8">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r>
        <w:rPr>
          <w:rFonts w:ascii="Times New Roman" w:hAnsi="Times New Roman"/>
          <w:color w:val="000000" w:themeColor="text1"/>
          <w:sz w:val="24"/>
          <w:highlight w:val="none"/>
          <w14:textFill>
            <w14:solidFill>
              <w14:schemeClr w14:val="tx1"/>
            </w14:solidFill>
          </w14:textFill>
        </w:rPr>
        <w:br w:type="page"/>
      </w:r>
      <w:bookmarkStart w:id="81" w:name="_Toc180347487"/>
      <w:r>
        <w:rPr>
          <w:rFonts w:ascii="宋体" w:hAnsi="宋体"/>
          <w:b/>
          <w:kern w:val="0"/>
          <w:sz w:val="24"/>
          <w:highlight w:val="none"/>
        </w:rPr>
        <w:t>2．法定代表人（负责人）授权委托书</w:t>
      </w:r>
      <w:bookmarkEnd w:id="81"/>
    </w:p>
    <w:p w14:paraId="4A455C73">
      <w:pPr>
        <w:keepNext w:val="0"/>
        <w:keepLines w:val="0"/>
        <w:pageBreakBefore w:val="0"/>
        <w:widowControl w:val="0"/>
        <w:kinsoku/>
        <w:overflowPunct/>
        <w:topLinePunct/>
        <w:bidi w:val="0"/>
        <w:adjustRightInd w:val="0"/>
        <w:snapToGrid w:val="0"/>
        <w:spacing w:line="360" w:lineRule="auto"/>
        <w:jc w:val="center"/>
        <w:rPr>
          <w:b/>
          <w:kern w:val="0"/>
          <w:sz w:val="28"/>
          <w:szCs w:val="28"/>
          <w:highlight w:val="none"/>
        </w:rPr>
      </w:pPr>
      <w:r>
        <w:rPr>
          <w:b/>
          <w:kern w:val="0"/>
          <w:sz w:val="28"/>
          <w:szCs w:val="28"/>
          <w:highlight w:val="none"/>
        </w:rPr>
        <w:t>法定代表人（负责人）授权委托书</w:t>
      </w:r>
    </w:p>
    <w:p w14:paraId="5C9B22C5">
      <w:pPr>
        <w:keepNext w:val="0"/>
        <w:keepLines w:val="0"/>
        <w:pageBreakBefore w:val="0"/>
        <w:widowControl w:val="0"/>
        <w:kinsoku/>
        <w:overflowPunct/>
        <w:topLinePunct/>
        <w:bidi w:val="0"/>
        <w:snapToGrid w:val="0"/>
        <w:spacing w:line="360" w:lineRule="auto"/>
        <w:ind w:firstLine="560"/>
        <w:jc w:val="left"/>
        <w:rPr>
          <w:kern w:val="0"/>
          <w:sz w:val="28"/>
          <w:szCs w:val="21"/>
          <w:highlight w:val="none"/>
        </w:rPr>
      </w:pPr>
    </w:p>
    <w:p w14:paraId="558C3EF5">
      <w:pPr>
        <w:keepNext w:val="0"/>
        <w:keepLines w:val="0"/>
        <w:pageBreakBefore w:val="0"/>
        <w:widowControl w:val="0"/>
        <w:kinsoku/>
        <w:overflowPunct/>
        <w:topLinePunct/>
        <w:bidi w:val="0"/>
        <w:snapToGrid w:val="0"/>
        <w:spacing w:line="480" w:lineRule="auto"/>
        <w:ind w:firstLine="480"/>
        <w:jc w:val="left"/>
        <w:rPr>
          <w:kern w:val="0"/>
          <w:sz w:val="24"/>
          <w:highlight w:val="none"/>
        </w:rPr>
      </w:pPr>
      <w:r>
        <w:rPr>
          <w:rFonts w:hint="eastAsia"/>
          <w:sz w:val="24"/>
          <w:highlight w:val="none"/>
          <w:u w:val="single"/>
          <w:lang w:val="en-US" w:eastAsia="zh-CN"/>
        </w:rPr>
        <w:t xml:space="preserve">  （</w:t>
      </w:r>
      <w:r>
        <w:rPr>
          <w:sz w:val="24"/>
          <w:highlight w:val="none"/>
          <w:u w:val="single"/>
        </w:rPr>
        <w:t>采购代理机构名称</w:t>
      </w:r>
      <w:r>
        <w:rPr>
          <w:rFonts w:hint="eastAsia"/>
          <w:sz w:val="24"/>
          <w:highlight w:val="none"/>
          <w:u w:val="single"/>
          <w:lang w:val="en-US" w:eastAsia="zh-CN"/>
        </w:rPr>
        <w:t>）</w:t>
      </w:r>
      <w:r>
        <w:rPr>
          <w:kern w:val="0"/>
          <w:sz w:val="24"/>
          <w:highlight w:val="none"/>
        </w:rPr>
        <w:t>：</w:t>
      </w:r>
    </w:p>
    <w:p w14:paraId="6381F70C">
      <w:pPr>
        <w:keepNext w:val="0"/>
        <w:keepLines w:val="0"/>
        <w:pageBreakBefore w:val="0"/>
        <w:widowControl w:val="0"/>
        <w:kinsoku/>
        <w:overflowPunct/>
        <w:topLinePunct/>
        <w:bidi w:val="0"/>
        <w:adjustRightInd w:val="0"/>
        <w:snapToGrid w:val="0"/>
        <w:spacing w:line="360" w:lineRule="auto"/>
        <w:ind w:firstLine="480" w:firstLineChars="200"/>
        <w:rPr>
          <w:kern w:val="0"/>
          <w:sz w:val="24"/>
          <w:highlight w:val="none"/>
        </w:rPr>
      </w:pPr>
      <w:r>
        <w:rPr>
          <w:kern w:val="0"/>
          <w:sz w:val="24"/>
          <w:highlight w:val="none"/>
        </w:rPr>
        <w:t>本授权书声明：注册于</w:t>
      </w:r>
      <w:r>
        <w:rPr>
          <w:rFonts w:hint="eastAsia"/>
          <w:kern w:val="0"/>
          <w:sz w:val="24"/>
          <w:highlight w:val="none"/>
          <w:u w:val="single"/>
        </w:rPr>
        <w:t xml:space="preserve">        </w:t>
      </w:r>
      <w:r>
        <w:rPr>
          <w:kern w:val="0"/>
          <w:sz w:val="24"/>
          <w:highlight w:val="none"/>
          <w:u w:val="single"/>
        </w:rPr>
        <w:t>（</w:t>
      </w:r>
      <w:r>
        <w:rPr>
          <w:rFonts w:hint="eastAsia"/>
          <w:kern w:val="0"/>
          <w:sz w:val="24"/>
          <w:highlight w:val="none"/>
          <w:u w:val="single"/>
        </w:rPr>
        <w:t>投标人</w:t>
      </w:r>
      <w:r>
        <w:rPr>
          <w:kern w:val="0"/>
          <w:sz w:val="24"/>
          <w:highlight w:val="none"/>
          <w:u w:val="single"/>
        </w:rPr>
        <w:t>住址）</w:t>
      </w:r>
      <w:r>
        <w:rPr>
          <w:rFonts w:hint="eastAsia"/>
          <w:kern w:val="0"/>
          <w:sz w:val="24"/>
          <w:highlight w:val="none"/>
          <w:u w:val="single"/>
        </w:rPr>
        <w:t xml:space="preserve">     </w:t>
      </w:r>
      <w:r>
        <w:rPr>
          <w:kern w:val="0"/>
          <w:sz w:val="24"/>
          <w:highlight w:val="none"/>
        </w:rPr>
        <w:t>的</w:t>
      </w:r>
      <w:r>
        <w:rPr>
          <w:kern w:val="0"/>
          <w:sz w:val="24"/>
          <w:highlight w:val="none"/>
          <w:u w:val="single"/>
        </w:rPr>
        <w:t xml:space="preserve"> </w:t>
      </w:r>
      <w:r>
        <w:rPr>
          <w:rFonts w:hint="eastAsia"/>
          <w:kern w:val="0"/>
          <w:sz w:val="24"/>
          <w:highlight w:val="none"/>
          <w:u w:val="single"/>
        </w:rPr>
        <w:t xml:space="preserve">  </w:t>
      </w:r>
      <w:r>
        <w:rPr>
          <w:kern w:val="0"/>
          <w:sz w:val="24"/>
          <w:highlight w:val="none"/>
          <w:u w:val="single"/>
        </w:rPr>
        <w:t xml:space="preserve"> （</w:t>
      </w:r>
      <w:r>
        <w:rPr>
          <w:rFonts w:hint="eastAsia"/>
          <w:kern w:val="0"/>
          <w:sz w:val="24"/>
          <w:highlight w:val="none"/>
          <w:u w:val="single"/>
        </w:rPr>
        <w:t>投标人</w:t>
      </w:r>
      <w:r>
        <w:rPr>
          <w:kern w:val="0"/>
          <w:sz w:val="24"/>
          <w:highlight w:val="none"/>
          <w:u w:val="single"/>
        </w:rPr>
        <w:t>名称）</w:t>
      </w:r>
      <w:r>
        <w:rPr>
          <w:rFonts w:hint="eastAsia"/>
          <w:kern w:val="0"/>
          <w:sz w:val="24"/>
          <w:highlight w:val="none"/>
          <w:u w:val="single"/>
        </w:rPr>
        <w:t xml:space="preserve">  </w:t>
      </w:r>
      <w:r>
        <w:rPr>
          <w:kern w:val="0"/>
          <w:sz w:val="24"/>
          <w:highlight w:val="none"/>
        </w:rPr>
        <w:t>法定代表人</w:t>
      </w:r>
      <w:r>
        <w:rPr>
          <w:kern w:val="0"/>
          <w:sz w:val="24"/>
          <w:highlight w:val="none"/>
          <w:u w:val="single"/>
        </w:rPr>
        <w:t xml:space="preserve"> </w:t>
      </w:r>
      <w:r>
        <w:rPr>
          <w:rFonts w:hint="eastAsia"/>
          <w:kern w:val="0"/>
          <w:sz w:val="24"/>
          <w:highlight w:val="none"/>
          <w:u w:val="single"/>
        </w:rPr>
        <w:t xml:space="preserve">  </w:t>
      </w:r>
      <w:r>
        <w:rPr>
          <w:kern w:val="0"/>
          <w:sz w:val="24"/>
          <w:highlight w:val="none"/>
          <w:u w:val="single"/>
        </w:rPr>
        <w:t>（法定代表人或负责人姓名、职务）</w:t>
      </w:r>
      <w:r>
        <w:rPr>
          <w:rFonts w:hint="eastAsia"/>
          <w:kern w:val="0"/>
          <w:sz w:val="24"/>
          <w:highlight w:val="none"/>
          <w:u w:val="single"/>
        </w:rPr>
        <w:t xml:space="preserve">       </w:t>
      </w:r>
      <w:r>
        <w:rPr>
          <w:kern w:val="0"/>
          <w:sz w:val="24"/>
          <w:highlight w:val="none"/>
        </w:rPr>
        <w:t>代表本公司授权</w:t>
      </w:r>
      <w:r>
        <w:rPr>
          <w:kern w:val="0"/>
          <w:sz w:val="24"/>
          <w:highlight w:val="none"/>
          <w:u w:val="single"/>
        </w:rPr>
        <w:t xml:space="preserve"> </w:t>
      </w:r>
      <w:r>
        <w:rPr>
          <w:rFonts w:hint="eastAsia"/>
          <w:kern w:val="0"/>
          <w:sz w:val="24"/>
          <w:highlight w:val="none"/>
          <w:u w:val="single"/>
        </w:rPr>
        <w:t xml:space="preserve">      </w:t>
      </w:r>
      <w:r>
        <w:rPr>
          <w:kern w:val="0"/>
          <w:sz w:val="24"/>
          <w:highlight w:val="none"/>
          <w:u w:val="single"/>
        </w:rPr>
        <w:t xml:space="preserve">  （被授权人姓名、职务）</w:t>
      </w:r>
      <w:r>
        <w:rPr>
          <w:rFonts w:hint="eastAsia"/>
          <w:kern w:val="0"/>
          <w:sz w:val="24"/>
          <w:highlight w:val="none"/>
          <w:u w:val="single"/>
        </w:rPr>
        <w:t xml:space="preserve">   </w:t>
      </w:r>
      <w:r>
        <w:rPr>
          <w:kern w:val="0"/>
          <w:sz w:val="24"/>
          <w:highlight w:val="none"/>
        </w:rPr>
        <w:t>为本公司的合法代理人，就贵方组织的</w:t>
      </w:r>
      <w:r>
        <w:rPr>
          <w:kern w:val="0"/>
          <w:sz w:val="24"/>
          <w:highlight w:val="none"/>
          <w:u w:val="single"/>
        </w:rPr>
        <w:t xml:space="preserve">  </w:t>
      </w:r>
      <w:r>
        <w:rPr>
          <w:rFonts w:hint="eastAsia"/>
          <w:kern w:val="0"/>
          <w:sz w:val="24"/>
          <w:highlight w:val="none"/>
          <w:u w:val="single"/>
        </w:rPr>
        <w:t xml:space="preserve"> </w:t>
      </w:r>
      <w:r>
        <w:rPr>
          <w:kern w:val="0"/>
          <w:sz w:val="24"/>
          <w:highlight w:val="none"/>
          <w:u w:val="single"/>
        </w:rPr>
        <w:t xml:space="preserve"> </w:t>
      </w:r>
      <w:r>
        <w:rPr>
          <w:rFonts w:hint="eastAsia"/>
          <w:kern w:val="0"/>
          <w:sz w:val="24"/>
          <w:highlight w:val="none"/>
          <w:u w:val="single"/>
          <w:lang w:val="en-US" w:eastAsia="zh-CN"/>
        </w:rPr>
        <w:t xml:space="preserve">  </w:t>
      </w:r>
      <w:r>
        <w:rPr>
          <w:rFonts w:hint="eastAsia"/>
          <w:kern w:val="0"/>
          <w:sz w:val="24"/>
          <w:highlight w:val="none"/>
          <w:u w:val="single"/>
          <w:lang w:eastAsia="zh-CN"/>
        </w:rPr>
        <w:t>（</w:t>
      </w:r>
      <w:r>
        <w:rPr>
          <w:rFonts w:hint="eastAsia"/>
          <w:kern w:val="0"/>
          <w:sz w:val="24"/>
          <w:highlight w:val="none"/>
          <w:u w:val="single"/>
        </w:rPr>
        <w:t>项目名称</w:t>
      </w:r>
      <w:r>
        <w:rPr>
          <w:kern w:val="0"/>
          <w:sz w:val="24"/>
          <w:highlight w:val="none"/>
          <w:u w:val="single"/>
        </w:rPr>
        <w:t xml:space="preserve"> </w:t>
      </w:r>
      <w:r>
        <w:rPr>
          <w:rFonts w:hint="eastAsia"/>
          <w:kern w:val="0"/>
          <w:sz w:val="24"/>
          <w:highlight w:val="none"/>
          <w:u w:val="single"/>
          <w:lang w:eastAsia="zh-CN"/>
        </w:rPr>
        <w:t>）</w:t>
      </w:r>
      <w:r>
        <w:rPr>
          <w:kern w:val="0"/>
          <w:sz w:val="24"/>
          <w:highlight w:val="none"/>
        </w:rPr>
        <w:t>，</w:t>
      </w:r>
      <w:r>
        <w:rPr>
          <w:kern w:val="0"/>
          <w:sz w:val="24"/>
          <w:highlight w:val="none"/>
          <w:u w:val="single"/>
        </w:rPr>
        <w:t xml:space="preserve">项目编号：                     </w:t>
      </w:r>
      <w:r>
        <w:rPr>
          <w:kern w:val="0"/>
          <w:sz w:val="24"/>
          <w:highlight w:val="none"/>
        </w:rPr>
        <w:t>，以本公司名义处理一切与之有关的事务。</w:t>
      </w:r>
    </w:p>
    <w:p w14:paraId="5C039D03">
      <w:pPr>
        <w:keepNext w:val="0"/>
        <w:keepLines w:val="0"/>
        <w:pageBreakBefore w:val="0"/>
        <w:widowControl w:val="0"/>
        <w:kinsoku/>
        <w:overflowPunct/>
        <w:topLinePunct/>
        <w:bidi w:val="0"/>
        <w:snapToGrid w:val="0"/>
        <w:spacing w:line="360" w:lineRule="auto"/>
        <w:ind w:firstLine="480"/>
        <w:jc w:val="left"/>
        <w:rPr>
          <w:kern w:val="0"/>
          <w:sz w:val="24"/>
          <w:highlight w:val="none"/>
        </w:rPr>
      </w:pPr>
    </w:p>
    <w:p w14:paraId="22CCE7B9">
      <w:pPr>
        <w:keepNext w:val="0"/>
        <w:keepLines w:val="0"/>
        <w:pageBreakBefore w:val="0"/>
        <w:widowControl w:val="0"/>
        <w:kinsoku/>
        <w:overflowPunct/>
        <w:topLinePunct/>
        <w:bidi w:val="0"/>
        <w:snapToGrid w:val="0"/>
        <w:spacing w:line="360" w:lineRule="auto"/>
        <w:ind w:firstLine="480"/>
        <w:jc w:val="left"/>
        <w:rPr>
          <w:kern w:val="0"/>
          <w:sz w:val="24"/>
          <w:highlight w:val="none"/>
        </w:rPr>
      </w:pPr>
      <w:r>
        <w:rPr>
          <w:kern w:val="0"/>
          <w:sz w:val="24"/>
          <w:highlight w:val="none"/>
        </w:rPr>
        <w:t>本授权书于    年  月  日起生效。</w:t>
      </w:r>
    </w:p>
    <w:p w14:paraId="5DA3CBF0">
      <w:pPr>
        <w:keepNext w:val="0"/>
        <w:keepLines w:val="0"/>
        <w:pageBreakBefore w:val="0"/>
        <w:widowControl w:val="0"/>
        <w:kinsoku/>
        <w:overflowPunct/>
        <w:topLinePunct/>
        <w:bidi w:val="0"/>
        <w:snapToGrid w:val="0"/>
        <w:spacing w:line="360" w:lineRule="auto"/>
        <w:ind w:firstLine="480"/>
        <w:jc w:val="left"/>
        <w:rPr>
          <w:kern w:val="0"/>
          <w:sz w:val="24"/>
          <w:highlight w:val="none"/>
        </w:rPr>
      </w:pPr>
    </w:p>
    <w:p w14:paraId="65038A33">
      <w:pPr>
        <w:keepNext w:val="0"/>
        <w:keepLines w:val="0"/>
        <w:pageBreakBefore w:val="0"/>
        <w:widowControl w:val="0"/>
        <w:kinsoku/>
        <w:overflowPunct/>
        <w:topLinePunct/>
        <w:bidi w:val="0"/>
        <w:snapToGrid w:val="0"/>
        <w:spacing w:line="360" w:lineRule="auto"/>
        <w:ind w:firstLine="480"/>
        <w:jc w:val="left"/>
        <w:rPr>
          <w:kern w:val="0"/>
          <w:sz w:val="24"/>
          <w:highlight w:val="none"/>
        </w:rPr>
      </w:pPr>
      <w:r>
        <w:rPr>
          <w:kern w:val="0"/>
          <w:sz w:val="24"/>
          <w:highlight w:val="none"/>
        </w:rPr>
        <w:t>特此声明</w:t>
      </w:r>
    </w:p>
    <w:p w14:paraId="60BDAA60">
      <w:pPr>
        <w:keepNext w:val="0"/>
        <w:keepLines w:val="0"/>
        <w:pageBreakBefore w:val="0"/>
        <w:widowControl w:val="0"/>
        <w:kinsoku/>
        <w:overflowPunct/>
        <w:topLinePunct/>
        <w:bidi w:val="0"/>
        <w:snapToGrid w:val="0"/>
        <w:spacing w:line="360" w:lineRule="auto"/>
        <w:ind w:firstLine="480"/>
        <w:rPr>
          <w:kern w:val="0"/>
          <w:sz w:val="24"/>
          <w:highlight w:val="none"/>
        </w:rPr>
      </w:pPr>
    </w:p>
    <w:p w14:paraId="68B5C0E0">
      <w:pPr>
        <w:keepNext w:val="0"/>
        <w:keepLines w:val="0"/>
        <w:pageBreakBefore w:val="0"/>
        <w:widowControl w:val="0"/>
        <w:kinsoku/>
        <w:overflowPunct/>
        <w:topLinePunct/>
        <w:bidi w:val="0"/>
        <w:snapToGrid w:val="0"/>
        <w:spacing w:line="480" w:lineRule="auto"/>
        <w:ind w:firstLine="3840" w:firstLineChars="1600"/>
        <w:rPr>
          <w:kern w:val="0"/>
          <w:sz w:val="24"/>
          <w:highlight w:val="none"/>
        </w:rPr>
      </w:pPr>
      <w:r>
        <w:rPr>
          <w:rFonts w:hint="eastAsia"/>
          <w:kern w:val="0"/>
          <w:sz w:val="24"/>
          <w:highlight w:val="none"/>
        </w:rPr>
        <w:t>投标人</w:t>
      </w:r>
      <w:r>
        <w:rPr>
          <w:kern w:val="0"/>
          <w:sz w:val="24"/>
          <w:highlight w:val="none"/>
        </w:rPr>
        <w:t>名称：</w:t>
      </w:r>
      <w:r>
        <w:rPr>
          <w:kern w:val="0"/>
          <w:sz w:val="24"/>
          <w:highlight w:val="none"/>
          <w:u w:val="single"/>
        </w:rPr>
        <w:t xml:space="preserve">                   </w:t>
      </w:r>
      <w:r>
        <w:rPr>
          <w:kern w:val="0"/>
          <w:sz w:val="24"/>
          <w:highlight w:val="none"/>
        </w:rPr>
        <w:t>（盖章）</w:t>
      </w:r>
    </w:p>
    <w:p w14:paraId="1D1B2509">
      <w:pPr>
        <w:keepNext w:val="0"/>
        <w:keepLines w:val="0"/>
        <w:pageBreakBefore w:val="0"/>
        <w:widowControl w:val="0"/>
        <w:kinsoku/>
        <w:overflowPunct/>
        <w:topLinePunct/>
        <w:bidi w:val="0"/>
        <w:snapToGrid w:val="0"/>
        <w:spacing w:line="480" w:lineRule="auto"/>
        <w:ind w:firstLine="3840" w:firstLineChars="1600"/>
        <w:rPr>
          <w:kern w:val="0"/>
          <w:sz w:val="24"/>
          <w:highlight w:val="none"/>
        </w:rPr>
      </w:pPr>
      <w:r>
        <w:rPr>
          <w:kern w:val="0"/>
          <w:sz w:val="24"/>
          <w:highlight w:val="none"/>
        </w:rPr>
        <w:t>法定代表人：</w:t>
      </w:r>
      <w:r>
        <w:rPr>
          <w:kern w:val="0"/>
          <w:sz w:val="24"/>
          <w:highlight w:val="none"/>
          <w:u w:val="single"/>
        </w:rPr>
        <w:t xml:space="preserve">      </w:t>
      </w:r>
      <w:r>
        <w:rPr>
          <w:rFonts w:hint="eastAsia"/>
          <w:kern w:val="0"/>
          <w:sz w:val="24"/>
          <w:highlight w:val="none"/>
          <w:u w:val="single"/>
        </w:rPr>
        <w:t xml:space="preserve"> </w:t>
      </w:r>
      <w:r>
        <w:rPr>
          <w:kern w:val="0"/>
          <w:sz w:val="24"/>
          <w:highlight w:val="none"/>
          <w:u w:val="single"/>
        </w:rPr>
        <w:t xml:space="preserve">       </w:t>
      </w:r>
      <w:r>
        <w:rPr>
          <w:kern w:val="0"/>
          <w:sz w:val="24"/>
          <w:highlight w:val="none"/>
        </w:rPr>
        <w:t>（签字或盖章）</w:t>
      </w:r>
    </w:p>
    <w:p w14:paraId="4944FE03">
      <w:pPr>
        <w:keepNext w:val="0"/>
        <w:keepLines w:val="0"/>
        <w:pageBreakBefore w:val="0"/>
        <w:widowControl w:val="0"/>
        <w:kinsoku/>
        <w:overflowPunct/>
        <w:topLinePunct/>
        <w:bidi w:val="0"/>
        <w:snapToGrid w:val="0"/>
        <w:spacing w:line="480" w:lineRule="auto"/>
        <w:ind w:firstLine="3840" w:firstLineChars="1600"/>
        <w:jc w:val="left"/>
        <w:rPr>
          <w:kern w:val="0"/>
          <w:sz w:val="24"/>
          <w:highlight w:val="none"/>
        </w:rPr>
      </w:pPr>
      <w:r>
        <w:rPr>
          <w:kern w:val="0"/>
          <w:sz w:val="24"/>
          <w:highlight w:val="none"/>
        </w:rPr>
        <w:t>被授权人代表：</w:t>
      </w:r>
      <w:r>
        <w:rPr>
          <w:kern w:val="0"/>
          <w:sz w:val="24"/>
          <w:highlight w:val="none"/>
          <w:u w:val="single"/>
        </w:rPr>
        <w:t xml:space="preserve">            </w:t>
      </w:r>
      <w:r>
        <w:rPr>
          <w:kern w:val="0"/>
          <w:sz w:val="24"/>
          <w:highlight w:val="none"/>
        </w:rPr>
        <w:t>（签字或盖章）</w:t>
      </w:r>
    </w:p>
    <w:p w14:paraId="19A13068">
      <w:pPr>
        <w:keepNext w:val="0"/>
        <w:keepLines w:val="0"/>
        <w:pageBreakBefore w:val="0"/>
        <w:widowControl w:val="0"/>
        <w:tabs>
          <w:tab w:val="left" w:pos="730"/>
        </w:tabs>
        <w:kinsoku/>
        <w:overflowPunct/>
        <w:topLinePunct/>
        <w:bidi w:val="0"/>
        <w:snapToGrid w:val="0"/>
        <w:spacing w:line="360" w:lineRule="auto"/>
        <w:ind w:firstLine="480"/>
        <w:rPr>
          <w:kern w:val="0"/>
          <w:sz w:val="24"/>
          <w:highlight w:val="none"/>
        </w:rPr>
      </w:pPr>
      <w:r>
        <w:rPr>
          <w:kern w:val="0"/>
          <w:sz w:val="24"/>
          <w:highlight w:val="none"/>
        </w:rPr>
        <w:t>附：被授权人代表身份证明正反面扫描件或影印件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349"/>
      </w:tblGrid>
      <w:tr w14:paraId="4194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353" w:type="dxa"/>
          </w:tcPr>
          <w:p w14:paraId="45BF4104">
            <w:pPr>
              <w:keepNext w:val="0"/>
              <w:keepLines w:val="0"/>
              <w:pageBreakBefore w:val="0"/>
              <w:widowControl w:val="0"/>
              <w:kinsoku/>
              <w:overflowPunct/>
              <w:topLinePunct/>
              <w:bidi w:val="0"/>
              <w:spacing w:line="360" w:lineRule="auto"/>
              <w:ind w:firstLine="480"/>
              <w:rPr>
                <w:sz w:val="24"/>
                <w:highlight w:val="none"/>
              </w:rPr>
            </w:pPr>
          </w:p>
        </w:tc>
        <w:tc>
          <w:tcPr>
            <w:tcW w:w="4349" w:type="dxa"/>
          </w:tcPr>
          <w:p w14:paraId="7F94CC54">
            <w:pPr>
              <w:keepNext w:val="0"/>
              <w:keepLines w:val="0"/>
              <w:pageBreakBefore w:val="0"/>
              <w:widowControl w:val="0"/>
              <w:kinsoku/>
              <w:overflowPunct/>
              <w:topLinePunct/>
              <w:bidi w:val="0"/>
              <w:spacing w:line="360" w:lineRule="auto"/>
              <w:ind w:firstLine="480"/>
              <w:rPr>
                <w:sz w:val="24"/>
                <w:highlight w:val="none"/>
              </w:rPr>
            </w:pPr>
          </w:p>
        </w:tc>
      </w:tr>
    </w:tbl>
    <w:p w14:paraId="1D50DDCA">
      <w:pPr>
        <w:keepNext w:val="0"/>
        <w:keepLines w:val="0"/>
        <w:pageBreakBefore w:val="0"/>
        <w:widowControl w:val="0"/>
        <w:kinsoku/>
        <w:overflowPunct/>
        <w:topLinePunct/>
        <w:bidi w:val="0"/>
        <w:snapToGrid w:val="0"/>
        <w:spacing w:line="360" w:lineRule="auto"/>
        <w:ind w:firstLine="482"/>
        <w:jc w:val="left"/>
        <w:rPr>
          <w:b/>
          <w:bCs/>
          <w:kern w:val="0"/>
          <w:sz w:val="24"/>
          <w:highlight w:val="none"/>
        </w:rPr>
      </w:pPr>
      <w:r>
        <w:rPr>
          <w:b/>
          <w:bCs/>
          <w:kern w:val="0"/>
          <w:sz w:val="24"/>
          <w:highlight w:val="none"/>
        </w:rPr>
        <w:t>注：</w:t>
      </w:r>
    </w:p>
    <w:p w14:paraId="18ED8AD1">
      <w:pPr>
        <w:keepNext w:val="0"/>
        <w:keepLines w:val="0"/>
        <w:pageBreakBefore w:val="0"/>
        <w:widowControl w:val="0"/>
        <w:kinsoku/>
        <w:overflowPunct/>
        <w:topLinePunct/>
        <w:bidi w:val="0"/>
        <w:snapToGrid w:val="0"/>
        <w:spacing w:line="360" w:lineRule="auto"/>
        <w:ind w:firstLine="482" w:firstLineChars="200"/>
        <w:jc w:val="left"/>
        <w:rPr>
          <w:b/>
          <w:bCs/>
          <w:kern w:val="0"/>
          <w:sz w:val="24"/>
          <w:highlight w:val="none"/>
        </w:rPr>
      </w:pPr>
      <w:r>
        <w:rPr>
          <w:b/>
          <w:bCs/>
          <w:kern w:val="0"/>
          <w:sz w:val="24"/>
          <w:highlight w:val="none"/>
        </w:rPr>
        <w:t>1.除可填报</w:t>
      </w:r>
      <w:r>
        <w:rPr>
          <w:rFonts w:hint="eastAsia"/>
          <w:b/>
          <w:bCs/>
          <w:kern w:val="0"/>
          <w:sz w:val="24"/>
          <w:highlight w:val="none"/>
        </w:rPr>
        <w:t>内容</w:t>
      </w:r>
      <w:r>
        <w:rPr>
          <w:b/>
          <w:bCs/>
          <w:kern w:val="0"/>
          <w:sz w:val="24"/>
          <w:highlight w:val="none"/>
        </w:rPr>
        <w:t>外，对本法定代表人授权委托书内容的任何修改将被视为未实质性响应，从而导致该</w:t>
      </w:r>
      <w:r>
        <w:rPr>
          <w:rFonts w:hint="eastAsia"/>
          <w:b/>
          <w:bCs/>
          <w:kern w:val="0"/>
          <w:sz w:val="24"/>
          <w:highlight w:val="none"/>
        </w:rPr>
        <w:t>投标文件</w:t>
      </w:r>
      <w:r>
        <w:rPr>
          <w:b/>
          <w:bCs/>
          <w:kern w:val="0"/>
          <w:sz w:val="24"/>
          <w:highlight w:val="none"/>
        </w:rPr>
        <w:t>被拒绝；</w:t>
      </w:r>
    </w:p>
    <w:p w14:paraId="2BF62940">
      <w:pPr>
        <w:keepNext w:val="0"/>
        <w:keepLines w:val="0"/>
        <w:pageBreakBefore w:val="0"/>
        <w:widowControl w:val="0"/>
        <w:tabs>
          <w:tab w:val="left" w:pos="567"/>
        </w:tabs>
        <w:kinsoku/>
        <w:overflowPunct/>
        <w:bidi w:val="0"/>
        <w:snapToGrid w:val="0"/>
        <w:spacing w:line="360" w:lineRule="auto"/>
        <w:ind w:firstLine="482" w:firstLineChars="200"/>
        <w:jc w:val="left"/>
        <w:rPr>
          <w:rFonts w:ascii="Times New Roman" w:hAnsi="Times New Roman"/>
          <w:b/>
          <w:color w:val="000000" w:themeColor="text1"/>
          <w:kern w:val="0"/>
          <w:sz w:val="24"/>
          <w:highlight w:val="none"/>
          <w14:textFill>
            <w14:solidFill>
              <w14:schemeClr w14:val="tx1"/>
            </w14:solidFill>
          </w14:textFill>
        </w:rPr>
      </w:pPr>
      <w:r>
        <w:rPr>
          <w:b/>
          <w:kern w:val="0"/>
          <w:sz w:val="24"/>
          <w:highlight w:val="none"/>
        </w:rPr>
        <w:t>2.若</w:t>
      </w:r>
      <w:r>
        <w:rPr>
          <w:rFonts w:hint="eastAsia"/>
          <w:b/>
          <w:kern w:val="0"/>
          <w:sz w:val="24"/>
          <w:highlight w:val="none"/>
        </w:rPr>
        <w:t>投标人</w:t>
      </w:r>
      <w:r>
        <w:rPr>
          <w:b/>
          <w:kern w:val="0"/>
          <w:sz w:val="24"/>
          <w:highlight w:val="none"/>
        </w:rPr>
        <w:t>授权代表为法定代表人（负责人）的可不提供。</w:t>
      </w:r>
    </w:p>
    <w:p w14:paraId="10D7B05C">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r>
        <w:rPr>
          <w:rFonts w:ascii="Times New Roman" w:hAnsi="Times New Roman"/>
          <w:b/>
          <w:color w:val="000000" w:themeColor="text1"/>
          <w:kern w:val="0"/>
          <w:sz w:val="24"/>
          <w:highlight w:val="none"/>
          <w14:textFill>
            <w14:solidFill>
              <w14:schemeClr w14:val="tx1"/>
            </w14:solidFill>
          </w14:textFill>
        </w:rPr>
        <w:br w:type="page"/>
      </w:r>
      <w:bookmarkStart w:id="82" w:name="_Toc180347488"/>
      <w:r>
        <w:rPr>
          <w:rFonts w:ascii="宋体" w:hAnsi="宋体"/>
          <w:b/>
          <w:kern w:val="0"/>
          <w:sz w:val="24"/>
          <w:highlight w:val="none"/>
        </w:rPr>
        <w:t>3．投标函</w:t>
      </w:r>
      <w:bookmarkEnd w:id="82"/>
    </w:p>
    <w:p w14:paraId="15A2A69A">
      <w:pPr>
        <w:keepNext w:val="0"/>
        <w:keepLines w:val="0"/>
        <w:pageBreakBefore w:val="0"/>
        <w:widowControl w:val="0"/>
        <w:kinsoku/>
        <w:overflowPunct/>
        <w:topLinePunct/>
        <w:bidi w:val="0"/>
        <w:adjustRightInd w:val="0"/>
        <w:snapToGrid w:val="0"/>
        <w:spacing w:line="360" w:lineRule="auto"/>
        <w:jc w:val="center"/>
        <w:rPr>
          <w:b/>
          <w:kern w:val="0"/>
          <w:sz w:val="28"/>
          <w:szCs w:val="28"/>
          <w:highlight w:val="none"/>
        </w:rPr>
      </w:pPr>
      <w:r>
        <w:rPr>
          <w:rFonts w:hint="eastAsia"/>
          <w:b/>
          <w:kern w:val="0"/>
          <w:sz w:val="28"/>
          <w:szCs w:val="28"/>
          <w:highlight w:val="none"/>
        </w:rPr>
        <w:t>投  标</w:t>
      </w:r>
      <w:r>
        <w:rPr>
          <w:b/>
          <w:kern w:val="0"/>
          <w:sz w:val="28"/>
          <w:szCs w:val="28"/>
          <w:highlight w:val="none"/>
        </w:rPr>
        <w:t xml:space="preserve">  函</w:t>
      </w:r>
    </w:p>
    <w:p w14:paraId="7DA78129">
      <w:pPr>
        <w:keepNext w:val="0"/>
        <w:keepLines w:val="0"/>
        <w:pageBreakBefore w:val="0"/>
        <w:widowControl w:val="0"/>
        <w:kinsoku/>
        <w:overflowPunct/>
        <w:topLinePunct/>
        <w:bidi w:val="0"/>
        <w:adjustRightInd w:val="0"/>
        <w:snapToGrid w:val="0"/>
        <w:spacing w:line="360" w:lineRule="auto"/>
        <w:jc w:val="left"/>
        <w:rPr>
          <w:kern w:val="0"/>
          <w:sz w:val="24"/>
          <w:highlight w:val="none"/>
        </w:rPr>
      </w:pPr>
      <w:r>
        <w:rPr>
          <w:rFonts w:hint="eastAsia"/>
          <w:sz w:val="24"/>
          <w:highlight w:val="none"/>
          <w:u w:val="single"/>
          <w:lang w:val="en-US" w:eastAsia="zh-CN"/>
        </w:rPr>
        <w:t xml:space="preserve">  （</w:t>
      </w:r>
      <w:r>
        <w:rPr>
          <w:sz w:val="24"/>
          <w:highlight w:val="none"/>
          <w:u w:val="single"/>
        </w:rPr>
        <w:t>采购代理机构名称</w:t>
      </w:r>
      <w:r>
        <w:rPr>
          <w:rFonts w:hint="eastAsia"/>
          <w:sz w:val="24"/>
          <w:highlight w:val="none"/>
          <w:u w:val="single"/>
          <w:lang w:val="en-US" w:eastAsia="zh-CN"/>
        </w:rPr>
        <w:t>）</w:t>
      </w:r>
      <w:r>
        <w:rPr>
          <w:kern w:val="0"/>
          <w:sz w:val="24"/>
          <w:highlight w:val="none"/>
        </w:rPr>
        <w:t>：</w:t>
      </w:r>
    </w:p>
    <w:p w14:paraId="15B51124">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u w:val="single"/>
        </w:rPr>
        <w:t xml:space="preserve">        </w:t>
      </w:r>
      <w:r>
        <w:rPr>
          <w:rFonts w:hint="eastAsia" w:ascii="宋体" w:hAnsi="宋体"/>
          <w:kern w:val="0"/>
          <w:sz w:val="24"/>
          <w:highlight w:val="none"/>
          <w:u w:val="single"/>
        </w:rPr>
        <w:t>（投标人名称）</w:t>
      </w:r>
      <w:r>
        <w:rPr>
          <w:rFonts w:ascii="宋体" w:hAnsi="宋体"/>
          <w:kern w:val="0"/>
          <w:sz w:val="24"/>
          <w:highlight w:val="none"/>
          <w:u w:val="single"/>
        </w:rPr>
        <w:t xml:space="preserve">       </w:t>
      </w:r>
      <w:r>
        <w:rPr>
          <w:rFonts w:hint="eastAsia" w:ascii="宋体" w:hAnsi="宋体"/>
          <w:kern w:val="0"/>
          <w:sz w:val="24"/>
          <w:highlight w:val="none"/>
          <w:u w:val="single"/>
        </w:rPr>
        <w:t xml:space="preserve"> </w:t>
      </w:r>
      <w:r>
        <w:rPr>
          <w:rFonts w:ascii="宋体" w:hAnsi="宋体"/>
          <w:kern w:val="0"/>
          <w:sz w:val="24"/>
          <w:highlight w:val="none"/>
        </w:rPr>
        <w:t>授权</w:t>
      </w:r>
      <w:r>
        <w:rPr>
          <w:rFonts w:ascii="宋体" w:hAnsi="宋体"/>
          <w:kern w:val="0"/>
          <w:sz w:val="24"/>
          <w:highlight w:val="none"/>
          <w:u w:val="single"/>
        </w:rPr>
        <w:t xml:space="preserve">   （</w:t>
      </w:r>
      <w:r>
        <w:rPr>
          <w:rFonts w:hint="eastAsia" w:ascii="宋体" w:hAnsi="宋体"/>
          <w:kern w:val="0"/>
          <w:sz w:val="24"/>
          <w:highlight w:val="none"/>
          <w:u w:val="single"/>
        </w:rPr>
        <w:t>投标人</w:t>
      </w:r>
      <w:r>
        <w:rPr>
          <w:rFonts w:ascii="宋体" w:hAnsi="宋体"/>
          <w:kern w:val="0"/>
          <w:sz w:val="24"/>
          <w:highlight w:val="none"/>
          <w:u w:val="single"/>
        </w:rPr>
        <w:t>授权代表姓名、职务</w:t>
      </w:r>
      <w:r>
        <w:rPr>
          <w:rFonts w:hint="eastAsia" w:ascii="宋体" w:hAnsi="宋体"/>
          <w:kern w:val="0"/>
          <w:sz w:val="24"/>
          <w:highlight w:val="none"/>
          <w:u w:val="single"/>
        </w:rPr>
        <w:t xml:space="preserve">）   </w:t>
      </w:r>
      <w:r>
        <w:rPr>
          <w:rFonts w:ascii="宋体" w:hAnsi="宋体"/>
          <w:kern w:val="0"/>
          <w:sz w:val="24"/>
          <w:highlight w:val="none"/>
        </w:rPr>
        <w:t>为我方代表，参加贵方组织的</w:t>
      </w:r>
      <w:r>
        <w:rPr>
          <w:rFonts w:ascii="宋体" w:hAnsi="宋体"/>
          <w:kern w:val="0"/>
          <w:sz w:val="24"/>
          <w:highlight w:val="none"/>
          <w:u w:val="single"/>
        </w:rPr>
        <w:t xml:space="preserve">    </w:t>
      </w:r>
      <w:r>
        <w:rPr>
          <w:rFonts w:hint="eastAsia" w:ascii="宋体" w:hAnsi="宋体"/>
          <w:kern w:val="0"/>
          <w:sz w:val="24"/>
          <w:highlight w:val="none"/>
          <w:u w:val="single"/>
          <w:lang w:eastAsia="zh-CN"/>
        </w:rPr>
        <w:t>（</w:t>
      </w:r>
      <w:r>
        <w:rPr>
          <w:rFonts w:hint="eastAsia" w:ascii="宋体" w:hAnsi="宋体"/>
          <w:kern w:val="0"/>
          <w:sz w:val="24"/>
          <w:highlight w:val="none"/>
          <w:u w:val="single"/>
        </w:rPr>
        <w:t>项目名称</w:t>
      </w:r>
      <w:r>
        <w:rPr>
          <w:rFonts w:hint="eastAsia" w:ascii="宋体" w:hAnsi="宋体"/>
          <w:kern w:val="0"/>
          <w:sz w:val="24"/>
          <w:highlight w:val="none"/>
          <w:u w:val="single"/>
          <w:lang w:eastAsia="zh-CN"/>
        </w:rPr>
        <w:t>）</w:t>
      </w:r>
      <w:r>
        <w:rPr>
          <w:rFonts w:ascii="宋体" w:hAnsi="宋体"/>
          <w:kern w:val="0"/>
          <w:sz w:val="24"/>
          <w:highlight w:val="none"/>
          <w:u w:val="single"/>
        </w:rPr>
        <w:t xml:space="preserve">  </w:t>
      </w:r>
      <w:r>
        <w:rPr>
          <w:rFonts w:hint="eastAsia" w:ascii="宋体" w:hAnsi="宋体"/>
          <w:kern w:val="0"/>
          <w:sz w:val="24"/>
          <w:highlight w:val="none"/>
          <w:u w:val="single"/>
        </w:rPr>
        <w:t xml:space="preserve"> </w:t>
      </w:r>
      <w:r>
        <w:rPr>
          <w:rFonts w:ascii="宋体" w:hAnsi="宋体"/>
          <w:kern w:val="0"/>
          <w:sz w:val="24"/>
          <w:highlight w:val="none"/>
          <w:u w:val="single"/>
        </w:rPr>
        <w:t xml:space="preserve"> （项目编号）</w:t>
      </w:r>
      <w:r>
        <w:rPr>
          <w:rFonts w:hint="eastAsia" w:ascii="宋体" w:hAnsi="宋体"/>
          <w:kern w:val="0"/>
          <w:sz w:val="24"/>
          <w:highlight w:val="none"/>
        </w:rPr>
        <w:t>招标</w:t>
      </w:r>
      <w:r>
        <w:rPr>
          <w:rFonts w:ascii="宋体" w:hAnsi="宋体"/>
          <w:kern w:val="0"/>
          <w:sz w:val="24"/>
          <w:highlight w:val="none"/>
        </w:rPr>
        <w:t>的有关活动，并对此项目进行报价。为此</w:t>
      </w:r>
      <w:r>
        <w:rPr>
          <w:rFonts w:hint="eastAsia" w:ascii="宋体" w:hAnsi="宋体"/>
          <w:kern w:val="0"/>
          <w:sz w:val="24"/>
          <w:highlight w:val="none"/>
        </w:rPr>
        <w:t>承诺</w:t>
      </w:r>
      <w:r>
        <w:rPr>
          <w:rFonts w:ascii="宋体" w:hAnsi="宋体"/>
          <w:kern w:val="0"/>
          <w:sz w:val="24"/>
          <w:highlight w:val="none"/>
        </w:rPr>
        <w:t>：</w:t>
      </w:r>
    </w:p>
    <w:p w14:paraId="4E47018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1</w:t>
      </w:r>
      <w:r>
        <w:rPr>
          <w:rFonts w:hint="eastAsia" w:ascii="宋体" w:hAnsi="宋体"/>
          <w:kern w:val="0"/>
          <w:sz w:val="24"/>
          <w:highlight w:val="none"/>
        </w:rPr>
        <w:t>.我方提交的投标文件有效期为：自</w:t>
      </w:r>
      <w:r>
        <w:rPr>
          <w:rFonts w:ascii="宋体" w:hAnsi="宋体"/>
          <w:kern w:val="0"/>
          <w:sz w:val="24"/>
          <w:highlight w:val="none"/>
        </w:rPr>
        <w:t>提交</w:t>
      </w:r>
      <w:r>
        <w:rPr>
          <w:rFonts w:hint="eastAsia" w:ascii="宋体" w:hAnsi="宋体"/>
          <w:kern w:val="0"/>
          <w:sz w:val="24"/>
          <w:highlight w:val="none"/>
        </w:rPr>
        <w:t>投标文件</w:t>
      </w:r>
      <w:r>
        <w:rPr>
          <w:rFonts w:ascii="宋体" w:hAnsi="宋体"/>
          <w:kern w:val="0"/>
          <w:sz w:val="24"/>
          <w:highlight w:val="none"/>
        </w:rPr>
        <w:t>截止之日起90个日历天</w:t>
      </w:r>
      <w:r>
        <w:rPr>
          <w:rFonts w:hint="eastAsia" w:ascii="宋体" w:hAnsi="宋体"/>
          <w:kern w:val="0"/>
          <w:sz w:val="24"/>
          <w:highlight w:val="none"/>
        </w:rPr>
        <w:t>。</w:t>
      </w:r>
      <w:r>
        <w:rPr>
          <w:rFonts w:ascii="宋体" w:hAnsi="宋体"/>
          <w:kern w:val="0"/>
          <w:sz w:val="24"/>
          <w:highlight w:val="none"/>
        </w:rPr>
        <w:t>在此期限</w:t>
      </w:r>
      <w:r>
        <w:rPr>
          <w:rFonts w:hint="eastAsia" w:ascii="宋体" w:hAnsi="宋体"/>
          <w:kern w:val="0"/>
          <w:sz w:val="24"/>
          <w:highlight w:val="none"/>
        </w:rPr>
        <w:t>内，我方保证严格</w:t>
      </w:r>
      <w:r>
        <w:rPr>
          <w:rFonts w:ascii="宋体" w:hAnsi="宋体"/>
          <w:kern w:val="0"/>
          <w:sz w:val="24"/>
          <w:highlight w:val="none"/>
        </w:rPr>
        <w:t>遵守</w:t>
      </w:r>
      <w:r>
        <w:rPr>
          <w:rFonts w:hint="eastAsia" w:ascii="宋体" w:hAnsi="宋体"/>
          <w:kern w:val="0"/>
          <w:sz w:val="24"/>
          <w:highlight w:val="none"/>
        </w:rPr>
        <w:t>投标文件</w:t>
      </w:r>
      <w:r>
        <w:rPr>
          <w:rFonts w:ascii="宋体" w:hAnsi="宋体"/>
          <w:kern w:val="0"/>
          <w:sz w:val="24"/>
          <w:highlight w:val="none"/>
        </w:rPr>
        <w:t>中的</w:t>
      </w:r>
      <w:r>
        <w:rPr>
          <w:rFonts w:hint="eastAsia" w:ascii="宋体" w:hAnsi="宋体"/>
          <w:kern w:val="0"/>
          <w:sz w:val="24"/>
          <w:highlight w:val="none"/>
        </w:rPr>
        <w:t>所有</w:t>
      </w:r>
      <w:r>
        <w:rPr>
          <w:rFonts w:ascii="宋体" w:hAnsi="宋体"/>
          <w:kern w:val="0"/>
          <w:sz w:val="24"/>
          <w:highlight w:val="none"/>
        </w:rPr>
        <w:t>承诺</w:t>
      </w:r>
      <w:r>
        <w:rPr>
          <w:rFonts w:hint="eastAsia" w:ascii="宋体" w:hAnsi="宋体"/>
          <w:kern w:val="0"/>
          <w:sz w:val="24"/>
          <w:highlight w:val="none"/>
        </w:rPr>
        <w:t>及评审过程中的所有澄清内容，贵方的招标文件和我方提交的投标文件对我方</w:t>
      </w:r>
      <w:r>
        <w:rPr>
          <w:rFonts w:ascii="宋体" w:hAnsi="宋体"/>
          <w:kern w:val="0"/>
          <w:sz w:val="24"/>
          <w:highlight w:val="none"/>
        </w:rPr>
        <w:t>均具有约束力。</w:t>
      </w:r>
    </w:p>
    <w:p w14:paraId="3ABF826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2</w:t>
      </w:r>
      <w:r>
        <w:rPr>
          <w:rFonts w:hint="eastAsia" w:ascii="宋体" w:hAnsi="宋体"/>
          <w:kern w:val="0"/>
          <w:sz w:val="24"/>
          <w:highlight w:val="none"/>
        </w:rPr>
        <w:t>.我方</w:t>
      </w:r>
      <w:r>
        <w:rPr>
          <w:rFonts w:ascii="宋体" w:hAnsi="宋体"/>
          <w:kern w:val="0"/>
          <w:sz w:val="24"/>
          <w:highlight w:val="none"/>
        </w:rPr>
        <w:t>已经具备本项目</w:t>
      </w:r>
      <w:r>
        <w:rPr>
          <w:rFonts w:hint="eastAsia" w:ascii="宋体" w:hAnsi="宋体"/>
          <w:kern w:val="0"/>
          <w:sz w:val="24"/>
          <w:highlight w:val="none"/>
        </w:rPr>
        <w:t>（包）</w:t>
      </w:r>
      <w:r>
        <w:rPr>
          <w:rFonts w:ascii="宋体" w:hAnsi="宋体"/>
          <w:kern w:val="0"/>
          <w:sz w:val="24"/>
          <w:highlight w:val="none"/>
        </w:rPr>
        <w:t>中规定的参加采购活动的</w:t>
      </w:r>
      <w:r>
        <w:rPr>
          <w:rFonts w:hint="eastAsia" w:ascii="宋体" w:hAnsi="宋体"/>
          <w:kern w:val="0"/>
          <w:sz w:val="24"/>
          <w:highlight w:val="none"/>
        </w:rPr>
        <w:t>投标人</w:t>
      </w:r>
      <w:r>
        <w:rPr>
          <w:rFonts w:ascii="宋体" w:hAnsi="宋体"/>
          <w:kern w:val="0"/>
          <w:sz w:val="24"/>
          <w:highlight w:val="none"/>
        </w:rPr>
        <w:t>应当具备的全部</w:t>
      </w:r>
      <w:r>
        <w:rPr>
          <w:rFonts w:hint="eastAsia" w:ascii="宋体" w:hAnsi="宋体"/>
          <w:kern w:val="0"/>
          <w:sz w:val="24"/>
          <w:highlight w:val="none"/>
        </w:rPr>
        <w:t>资格</w:t>
      </w:r>
      <w:r>
        <w:rPr>
          <w:rFonts w:ascii="宋体" w:hAnsi="宋体"/>
          <w:kern w:val="0"/>
          <w:sz w:val="24"/>
          <w:highlight w:val="none"/>
        </w:rPr>
        <w:t>条件</w:t>
      </w:r>
      <w:r>
        <w:rPr>
          <w:rFonts w:hint="eastAsia" w:ascii="宋体" w:hAnsi="宋体"/>
          <w:kern w:val="0"/>
          <w:sz w:val="24"/>
          <w:highlight w:val="none"/>
        </w:rPr>
        <w:t>，并提供了相关证明材料。</w:t>
      </w:r>
    </w:p>
    <w:p w14:paraId="0A902D3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3</w:t>
      </w:r>
      <w:r>
        <w:rPr>
          <w:rFonts w:hint="eastAsia" w:ascii="宋体" w:hAnsi="宋体"/>
          <w:kern w:val="0"/>
          <w:sz w:val="24"/>
          <w:highlight w:val="none"/>
        </w:rPr>
        <w:t>.我方已按照招标文件要求，</w:t>
      </w:r>
      <w:r>
        <w:rPr>
          <w:rFonts w:ascii="宋体" w:hAnsi="宋体"/>
          <w:kern w:val="0"/>
          <w:sz w:val="24"/>
          <w:highlight w:val="none"/>
        </w:rPr>
        <w:t>提供</w:t>
      </w:r>
      <w:r>
        <w:rPr>
          <w:rFonts w:hint="eastAsia" w:ascii="宋体" w:hAnsi="宋体"/>
          <w:kern w:val="0"/>
          <w:sz w:val="24"/>
          <w:highlight w:val="none"/>
        </w:rPr>
        <w:t>了投标人</w:t>
      </w:r>
      <w:r>
        <w:rPr>
          <w:rFonts w:ascii="宋体" w:hAnsi="宋体"/>
          <w:kern w:val="0"/>
          <w:sz w:val="24"/>
          <w:highlight w:val="none"/>
        </w:rPr>
        <w:t>须知</w:t>
      </w:r>
      <w:r>
        <w:rPr>
          <w:rFonts w:hint="eastAsia" w:ascii="宋体" w:hAnsi="宋体"/>
          <w:kern w:val="0"/>
          <w:sz w:val="24"/>
          <w:highlight w:val="none"/>
        </w:rPr>
        <w:t>前附表中</w:t>
      </w:r>
      <w:r>
        <w:rPr>
          <w:rFonts w:ascii="宋体" w:hAnsi="宋体"/>
          <w:kern w:val="0"/>
          <w:sz w:val="24"/>
          <w:highlight w:val="none"/>
        </w:rPr>
        <w:t>规定的</w:t>
      </w:r>
      <w:r>
        <w:rPr>
          <w:rFonts w:hint="eastAsia" w:ascii="宋体" w:hAnsi="宋体"/>
          <w:kern w:val="0"/>
          <w:sz w:val="24"/>
          <w:highlight w:val="none"/>
        </w:rPr>
        <w:t>投标人应提交的资格证明文件和商务技术文件</w:t>
      </w:r>
      <w:r>
        <w:rPr>
          <w:rFonts w:ascii="宋体" w:hAnsi="宋体"/>
          <w:kern w:val="0"/>
          <w:sz w:val="24"/>
          <w:highlight w:val="none"/>
        </w:rPr>
        <w:t>，</w:t>
      </w:r>
      <w:r>
        <w:rPr>
          <w:rFonts w:hint="eastAsia" w:ascii="宋体" w:hAnsi="宋体"/>
          <w:kern w:val="0"/>
          <w:sz w:val="24"/>
          <w:highlight w:val="none"/>
        </w:rPr>
        <w:t>并将所有资料按照招标文件要求在“山西省政府采购平台”完成上传</w:t>
      </w:r>
      <w:r>
        <w:rPr>
          <w:rFonts w:ascii="宋体" w:hAnsi="宋体"/>
          <w:kern w:val="0"/>
          <w:sz w:val="24"/>
          <w:highlight w:val="none"/>
        </w:rPr>
        <w:t>。</w:t>
      </w:r>
    </w:p>
    <w:p w14:paraId="61AF68E3">
      <w:pPr>
        <w:keepNext w:val="0"/>
        <w:keepLines w:val="0"/>
        <w:pageBreakBefore w:val="0"/>
        <w:widowControl w:val="0"/>
        <w:tabs>
          <w:tab w:val="left" w:pos="1680"/>
        </w:tabs>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4</w:t>
      </w:r>
      <w:r>
        <w:rPr>
          <w:rFonts w:hint="eastAsia" w:ascii="宋体" w:hAnsi="宋体"/>
          <w:kern w:val="0"/>
          <w:sz w:val="24"/>
          <w:highlight w:val="none"/>
        </w:rPr>
        <w:t>.若我方被确定为本项目（包）的中标人，</w:t>
      </w:r>
      <w:r>
        <w:rPr>
          <w:rFonts w:ascii="宋体" w:hAnsi="宋体"/>
          <w:kern w:val="0"/>
          <w:sz w:val="24"/>
          <w:highlight w:val="none"/>
        </w:rPr>
        <w:t>保证</w:t>
      </w:r>
      <w:r>
        <w:rPr>
          <w:rFonts w:hint="eastAsia" w:ascii="宋体" w:hAnsi="宋体"/>
          <w:kern w:val="0"/>
          <w:sz w:val="24"/>
          <w:highlight w:val="none"/>
        </w:rPr>
        <w:t>按相关法律法规规定，与采购人签订政府采购合同，并严格履行</w:t>
      </w:r>
      <w:r>
        <w:rPr>
          <w:rFonts w:ascii="宋体" w:hAnsi="宋体"/>
          <w:kern w:val="0"/>
          <w:sz w:val="24"/>
          <w:highlight w:val="none"/>
        </w:rPr>
        <w:t>双方所签订的合同，承担合同规定的责任和义务。</w:t>
      </w:r>
    </w:p>
    <w:p w14:paraId="2E8BF6C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lang w:val="en-US" w:eastAsia="zh-CN"/>
        </w:rPr>
        <w:t>5</w:t>
      </w:r>
      <w:r>
        <w:rPr>
          <w:rFonts w:hint="eastAsia" w:ascii="宋体" w:hAnsi="宋体"/>
          <w:kern w:val="0"/>
          <w:sz w:val="24"/>
          <w:highlight w:val="none"/>
        </w:rPr>
        <w:t>.</w:t>
      </w:r>
      <w:r>
        <w:rPr>
          <w:rFonts w:ascii="宋体" w:hAnsi="宋体"/>
          <w:kern w:val="0"/>
          <w:sz w:val="24"/>
          <w:highlight w:val="none"/>
        </w:rPr>
        <w:t>承诺</w:t>
      </w:r>
      <w:r>
        <w:rPr>
          <w:rFonts w:hint="eastAsia" w:ascii="宋体" w:hAnsi="宋体"/>
          <w:kern w:val="0"/>
          <w:sz w:val="24"/>
          <w:highlight w:val="none"/>
        </w:rPr>
        <w:t>对招标文件</w:t>
      </w:r>
      <w:r>
        <w:rPr>
          <w:rFonts w:ascii="宋体" w:hAnsi="宋体"/>
          <w:kern w:val="0"/>
          <w:sz w:val="24"/>
          <w:highlight w:val="none"/>
        </w:rPr>
        <w:t>中的各项商务</w:t>
      </w:r>
      <w:r>
        <w:rPr>
          <w:rFonts w:hint="eastAsia" w:ascii="宋体" w:hAnsi="宋体"/>
          <w:kern w:val="0"/>
          <w:sz w:val="24"/>
          <w:highlight w:val="none"/>
        </w:rPr>
        <w:t>、</w:t>
      </w:r>
      <w:r>
        <w:rPr>
          <w:rFonts w:ascii="宋体" w:hAnsi="宋体"/>
          <w:kern w:val="0"/>
          <w:sz w:val="24"/>
          <w:highlight w:val="none"/>
        </w:rPr>
        <w:t>技术要求</w:t>
      </w:r>
      <w:r>
        <w:rPr>
          <w:rFonts w:hint="eastAsia" w:ascii="宋体" w:hAnsi="宋体"/>
          <w:kern w:val="0"/>
          <w:sz w:val="24"/>
          <w:highlight w:val="none"/>
        </w:rPr>
        <w:t>均做出了响应</w:t>
      </w:r>
      <w:r>
        <w:rPr>
          <w:rFonts w:ascii="宋体" w:hAnsi="宋体"/>
          <w:kern w:val="0"/>
          <w:sz w:val="24"/>
          <w:highlight w:val="none"/>
        </w:rPr>
        <w:t>，</w:t>
      </w:r>
      <w:r>
        <w:rPr>
          <w:rFonts w:hint="eastAsia" w:ascii="宋体" w:hAnsi="宋体"/>
          <w:kern w:val="0"/>
          <w:sz w:val="24"/>
          <w:highlight w:val="none"/>
        </w:rPr>
        <w:t>对符合性存在</w:t>
      </w:r>
      <w:r>
        <w:rPr>
          <w:rFonts w:ascii="宋体" w:hAnsi="宋体"/>
          <w:kern w:val="0"/>
          <w:sz w:val="24"/>
          <w:highlight w:val="none"/>
        </w:rPr>
        <w:t>偏差</w:t>
      </w:r>
      <w:r>
        <w:rPr>
          <w:rFonts w:hint="eastAsia" w:ascii="宋体" w:hAnsi="宋体"/>
          <w:kern w:val="0"/>
          <w:sz w:val="24"/>
          <w:highlight w:val="none"/>
        </w:rPr>
        <w:t>的</w:t>
      </w:r>
      <w:r>
        <w:rPr>
          <w:rFonts w:ascii="宋体" w:hAnsi="宋体"/>
          <w:kern w:val="0"/>
          <w:sz w:val="24"/>
          <w:highlight w:val="none"/>
        </w:rPr>
        <w:t>，已在</w:t>
      </w:r>
      <w:r>
        <w:rPr>
          <w:rFonts w:hint="eastAsia" w:ascii="宋体" w:hAnsi="宋体"/>
          <w:kern w:val="0"/>
          <w:sz w:val="24"/>
          <w:highlight w:val="none"/>
        </w:rPr>
        <w:t>投标文件中的</w:t>
      </w:r>
      <w:r>
        <w:rPr>
          <w:rFonts w:ascii="宋体" w:hAnsi="宋体"/>
          <w:kern w:val="0"/>
          <w:sz w:val="24"/>
          <w:highlight w:val="none"/>
        </w:rPr>
        <w:t>商务</w:t>
      </w:r>
      <w:r>
        <w:rPr>
          <w:rFonts w:hint="eastAsia" w:ascii="宋体" w:hAnsi="宋体"/>
          <w:kern w:val="0"/>
          <w:sz w:val="24"/>
          <w:highlight w:val="none"/>
        </w:rPr>
        <w:t>响应</w:t>
      </w:r>
      <w:r>
        <w:rPr>
          <w:rFonts w:ascii="宋体" w:hAnsi="宋体"/>
          <w:kern w:val="0"/>
          <w:sz w:val="24"/>
          <w:highlight w:val="none"/>
        </w:rPr>
        <w:t>和技术条款偏离表中予以明确</w:t>
      </w:r>
      <w:r>
        <w:rPr>
          <w:rFonts w:hint="eastAsia" w:ascii="宋体" w:hAnsi="宋体"/>
          <w:kern w:val="0"/>
          <w:sz w:val="24"/>
          <w:highlight w:val="none"/>
        </w:rPr>
        <w:t>，并</w:t>
      </w:r>
      <w:r>
        <w:rPr>
          <w:rFonts w:ascii="宋体" w:hAnsi="宋体"/>
          <w:kern w:val="0"/>
          <w:sz w:val="24"/>
          <w:highlight w:val="none"/>
        </w:rPr>
        <w:t>特别说明。</w:t>
      </w:r>
    </w:p>
    <w:p w14:paraId="08135A7E">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lang w:val="en-US" w:eastAsia="zh-CN"/>
        </w:rPr>
        <w:t>6</w:t>
      </w:r>
      <w:r>
        <w:rPr>
          <w:rFonts w:hint="eastAsia" w:ascii="宋体" w:hAnsi="宋体"/>
          <w:kern w:val="0"/>
          <w:sz w:val="24"/>
          <w:highlight w:val="none"/>
        </w:rPr>
        <w:t>.</w:t>
      </w:r>
      <w:r>
        <w:rPr>
          <w:rFonts w:ascii="宋体" w:hAnsi="宋体"/>
          <w:kern w:val="0"/>
          <w:sz w:val="24"/>
          <w:highlight w:val="none"/>
        </w:rPr>
        <w:t>保证遵守</w:t>
      </w:r>
      <w:r>
        <w:rPr>
          <w:rFonts w:hint="eastAsia" w:ascii="宋体" w:hAnsi="宋体"/>
          <w:kern w:val="0"/>
          <w:sz w:val="24"/>
          <w:highlight w:val="none"/>
        </w:rPr>
        <w:t>招标文件</w:t>
      </w:r>
      <w:r>
        <w:rPr>
          <w:rFonts w:ascii="宋体" w:hAnsi="宋体"/>
          <w:kern w:val="0"/>
          <w:sz w:val="24"/>
          <w:highlight w:val="none"/>
        </w:rPr>
        <w:t>的</w:t>
      </w:r>
      <w:r>
        <w:rPr>
          <w:rFonts w:hint="eastAsia" w:ascii="宋体" w:hAnsi="宋体"/>
          <w:kern w:val="0"/>
          <w:sz w:val="24"/>
          <w:highlight w:val="none"/>
        </w:rPr>
        <w:t>各项</w:t>
      </w:r>
      <w:r>
        <w:rPr>
          <w:rFonts w:ascii="宋体" w:hAnsi="宋体"/>
          <w:kern w:val="0"/>
          <w:sz w:val="24"/>
          <w:highlight w:val="none"/>
        </w:rPr>
        <w:t>规定。</w:t>
      </w:r>
    </w:p>
    <w:p w14:paraId="0410C3F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lang w:val="en-US" w:eastAsia="zh-CN"/>
        </w:rPr>
        <w:t>7</w:t>
      </w:r>
      <w:r>
        <w:rPr>
          <w:rFonts w:hint="eastAsia" w:ascii="宋体" w:hAnsi="宋体"/>
          <w:kern w:val="0"/>
          <w:sz w:val="24"/>
          <w:highlight w:val="none"/>
        </w:rPr>
        <w:t>.</w:t>
      </w:r>
      <w:r>
        <w:rPr>
          <w:rFonts w:ascii="宋体" w:hAnsi="宋体"/>
          <w:kern w:val="0"/>
          <w:sz w:val="24"/>
          <w:highlight w:val="none"/>
        </w:rPr>
        <w:t>我方完全理解贵方不接受可选择性报价。</w:t>
      </w:r>
    </w:p>
    <w:p w14:paraId="42341894">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lang w:val="en-US" w:eastAsia="zh-CN"/>
        </w:rPr>
        <w:t>8</w:t>
      </w:r>
      <w:r>
        <w:rPr>
          <w:rFonts w:hint="eastAsia" w:ascii="宋体" w:hAnsi="宋体"/>
          <w:kern w:val="0"/>
          <w:sz w:val="24"/>
          <w:highlight w:val="none"/>
        </w:rPr>
        <w:t>.在评审过程中，</w:t>
      </w:r>
      <w:r>
        <w:rPr>
          <w:rFonts w:ascii="宋体" w:hAnsi="宋体"/>
          <w:kern w:val="0"/>
          <w:sz w:val="24"/>
          <w:highlight w:val="none"/>
        </w:rPr>
        <w:t>若贵方</w:t>
      </w:r>
      <w:r>
        <w:rPr>
          <w:rFonts w:hint="eastAsia" w:ascii="宋体" w:hAnsi="宋体"/>
          <w:kern w:val="0"/>
          <w:sz w:val="24"/>
          <w:highlight w:val="none"/>
        </w:rPr>
        <w:t>或评标委员会</w:t>
      </w:r>
      <w:r>
        <w:rPr>
          <w:rFonts w:ascii="宋体" w:hAnsi="宋体"/>
          <w:kern w:val="0"/>
          <w:sz w:val="24"/>
          <w:highlight w:val="none"/>
        </w:rPr>
        <w:t>需要</w:t>
      </w:r>
      <w:r>
        <w:rPr>
          <w:rFonts w:hint="eastAsia" w:ascii="宋体" w:hAnsi="宋体"/>
          <w:kern w:val="0"/>
          <w:sz w:val="24"/>
          <w:highlight w:val="none"/>
        </w:rPr>
        <w:t>，</w:t>
      </w:r>
      <w:r>
        <w:rPr>
          <w:rFonts w:ascii="宋体" w:hAnsi="宋体"/>
          <w:kern w:val="0"/>
          <w:sz w:val="24"/>
          <w:highlight w:val="none"/>
        </w:rPr>
        <w:t>我方愿意向贵方提供任何与本项有关的数据、情况和技术资料。</w:t>
      </w:r>
    </w:p>
    <w:p w14:paraId="2CD62FED">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lang w:val="en-US" w:eastAsia="zh-CN"/>
        </w:rPr>
        <w:t>9</w:t>
      </w:r>
      <w:r>
        <w:rPr>
          <w:rFonts w:hint="eastAsia" w:ascii="宋体" w:hAnsi="宋体"/>
          <w:kern w:val="0"/>
          <w:sz w:val="24"/>
          <w:highlight w:val="none"/>
        </w:rPr>
        <w:t>.</w:t>
      </w:r>
      <w:r>
        <w:rPr>
          <w:rFonts w:ascii="宋体" w:hAnsi="宋体"/>
          <w:kern w:val="0"/>
          <w:sz w:val="24"/>
          <w:highlight w:val="none"/>
        </w:rPr>
        <w:t>我方已详细审核全部</w:t>
      </w:r>
      <w:r>
        <w:rPr>
          <w:rFonts w:hint="eastAsia" w:ascii="宋体" w:hAnsi="宋体"/>
          <w:kern w:val="0"/>
          <w:sz w:val="24"/>
          <w:highlight w:val="none"/>
        </w:rPr>
        <w:t>投标文件内容</w:t>
      </w:r>
      <w:r>
        <w:rPr>
          <w:rFonts w:ascii="宋体" w:hAnsi="宋体"/>
          <w:kern w:val="0"/>
          <w:sz w:val="24"/>
          <w:highlight w:val="none"/>
        </w:rPr>
        <w:t>，包括</w:t>
      </w:r>
      <w:r>
        <w:rPr>
          <w:rFonts w:hint="eastAsia" w:ascii="宋体" w:hAnsi="宋体"/>
          <w:kern w:val="0"/>
          <w:sz w:val="24"/>
          <w:highlight w:val="none"/>
        </w:rPr>
        <w:t>投标文件补充文件</w:t>
      </w:r>
      <w:r>
        <w:rPr>
          <w:rFonts w:ascii="宋体" w:hAnsi="宋体"/>
          <w:kern w:val="0"/>
          <w:sz w:val="24"/>
          <w:highlight w:val="none"/>
        </w:rPr>
        <w:t>（如有的话）、参考资料及有关附件，确认无误。</w:t>
      </w:r>
    </w:p>
    <w:p w14:paraId="3D31745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lang w:val="en-US" w:eastAsia="zh-CN"/>
        </w:rPr>
        <w:t>10</w:t>
      </w:r>
      <w:r>
        <w:rPr>
          <w:rFonts w:hint="eastAsia" w:ascii="宋体" w:hAnsi="宋体"/>
          <w:kern w:val="0"/>
          <w:sz w:val="24"/>
          <w:highlight w:val="none"/>
        </w:rPr>
        <w:t>.在合同执行过程中，</w:t>
      </w:r>
      <w:r>
        <w:rPr>
          <w:rFonts w:ascii="宋体" w:hAnsi="宋体"/>
          <w:kern w:val="0"/>
          <w:sz w:val="24"/>
          <w:highlight w:val="none"/>
        </w:rPr>
        <w:t>若采购人需追加采购本项目</w:t>
      </w:r>
      <w:r>
        <w:rPr>
          <w:rFonts w:hint="eastAsia" w:ascii="宋体" w:hAnsi="宋体"/>
          <w:kern w:val="0"/>
          <w:sz w:val="24"/>
          <w:highlight w:val="none"/>
        </w:rPr>
        <w:t>投标文件</w:t>
      </w:r>
      <w:r>
        <w:rPr>
          <w:rFonts w:ascii="宋体" w:hAnsi="宋体"/>
          <w:kern w:val="0"/>
          <w:sz w:val="24"/>
          <w:highlight w:val="none"/>
        </w:rPr>
        <w:t>所列的</w:t>
      </w:r>
      <w:r>
        <w:rPr>
          <w:rFonts w:hint="eastAsia" w:ascii="宋体" w:hAnsi="宋体"/>
          <w:kern w:val="0"/>
          <w:sz w:val="24"/>
          <w:highlight w:val="none"/>
          <w:lang w:val="en-US" w:eastAsia="zh-CN"/>
        </w:rPr>
        <w:t>服务</w:t>
      </w:r>
      <w:r>
        <w:rPr>
          <w:rFonts w:ascii="宋体" w:hAnsi="宋体"/>
          <w:kern w:val="0"/>
          <w:sz w:val="24"/>
          <w:highlight w:val="none"/>
        </w:rPr>
        <w:t>，在不改变合同其他实质性条款</w:t>
      </w:r>
      <w:r>
        <w:rPr>
          <w:rFonts w:hint="eastAsia" w:ascii="宋体" w:hAnsi="宋体"/>
          <w:kern w:val="0"/>
          <w:sz w:val="24"/>
          <w:highlight w:val="none"/>
        </w:rPr>
        <w:t>和</w:t>
      </w:r>
      <w:r>
        <w:rPr>
          <w:rFonts w:hint="eastAsia" w:ascii="宋体" w:hAnsi="宋体"/>
          <w:kern w:val="0"/>
          <w:sz w:val="24"/>
          <w:highlight w:val="none"/>
          <w:lang w:val="en-US" w:eastAsia="zh-CN"/>
        </w:rPr>
        <w:t>项目</w:t>
      </w:r>
      <w:r>
        <w:rPr>
          <w:rFonts w:hint="eastAsia" w:ascii="宋体" w:hAnsi="宋体"/>
          <w:kern w:val="0"/>
          <w:sz w:val="24"/>
          <w:highlight w:val="none"/>
        </w:rPr>
        <w:t>质量</w:t>
      </w:r>
      <w:r>
        <w:rPr>
          <w:rFonts w:ascii="宋体" w:hAnsi="宋体"/>
          <w:kern w:val="0"/>
          <w:sz w:val="24"/>
          <w:highlight w:val="none"/>
        </w:rPr>
        <w:t>的前提下，</w:t>
      </w:r>
      <w:r>
        <w:rPr>
          <w:rFonts w:hint="eastAsia" w:ascii="宋体" w:hAnsi="宋体"/>
          <w:kern w:val="0"/>
          <w:sz w:val="24"/>
          <w:highlight w:val="none"/>
        </w:rPr>
        <w:t>按</w:t>
      </w:r>
      <w:r>
        <w:rPr>
          <w:rFonts w:ascii="宋体" w:hAnsi="宋体"/>
          <w:kern w:val="0"/>
          <w:sz w:val="24"/>
          <w:highlight w:val="none"/>
        </w:rPr>
        <w:t>相同或更优惠的</w:t>
      </w:r>
      <w:r>
        <w:rPr>
          <w:rFonts w:hint="eastAsia" w:ascii="宋体" w:hAnsi="宋体"/>
          <w:kern w:val="0"/>
          <w:sz w:val="24"/>
          <w:highlight w:val="none"/>
        </w:rPr>
        <w:t>价格提供</w:t>
      </w:r>
      <w:r>
        <w:rPr>
          <w:rFonts w:ascii="宋体" w:hAnsi="宋体"/>
          <w:kern w:val="0"/>
          <w:sz w:val="24"/>
          <w:highlight w:val="none"/>
        </w:rPr>
        <w:t>。</w:t>
      </w:r>
    </w:p>
    <w:p w14:paraId="3B077693">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lang w:val="en-US" w:eastAsia="zh-CN"/>
        </w:rPr>
        <w:t>11</w:t>
      </w:r>
      <w:r>
        <w:rPr>
          <w:rFonts w:hint="eastAsia" w:ascii="宋体" w:hAnsi="宋体"/>
          <w:kern w:val="0"/>
          <w:sz w:val="24"/>
          <w:highlight w:val="none"/>
        </w:rPr>
        <w:t>.</w:t>
      </w:r>
      <w:r>
        <w:rPr>
          <w:rFonts w:ascii="宋体" w:hAnsi="宋体"/>
          <w:kern w:val="0"/>
          <w:sz w:val="24"/>
          <w:highlight w:val="none"/>
        </w:rPr>
        <w:t>接受</w:t>
      </w:r>
      <w:r>
        <w:rPr>
          <w:rFonts w:hint="eastAsia" w:ascii="宋体" w:hAnsi="宋体"/>
          <w:kern w:val="0"/>
          <w:sz w:val="24"/>
          <w:highlight w:val="none"/>
        </w:rPr>
        <w:t>招标文件</w:t>
      </w:r>
      <w:r>
        <w:rPr>
          <w:rFonts w:ascii="宋体" w:hAnsi="宋体"/>
          <w:kern w:val="0"/>
          <w:sz w:val="24"/>
          <w:highlight w:val="none"/>
        </w:rPr>
        <w:t>中《采购合同范本》的全部条款且无任何异议。</w:t>
      </w:r>
    </w:p>
    <w:p w14:paraId="100F8B39">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1</w:t>
      </w:r>
      <w:r>
        <w:rPr>
          <w:rFonts w:hint="eastAsia" w:ascii="宋体" w:hAnsi="宋体"/>
          <w:kern w:val="0"/>
          <w:sz w:val="24"/>
          <w:highlight w:val="none"/>
          <w:lang w:val="en-US" w:eastAsia="zh-CN"/>
        </w:rPr>
        <w:t>2</w:t>
      </w:r>
      <w:r>
        <w:rPr>
          <w:rFonts w:hint="eastAsia" w:ascii="宋体" w:hAnsi="宋体"/>
          <w:kern w:val="0"/>
          <w:sz w:val="24"/>
          <w:highlight w:val="none"/>
        </w:rPr>
        <w:t>.</w:t>
      </w:r>
      <w:r>
        <w:rPr>
          <w:rFonts w:ascii="宋体" w:hAnsi="宋体"/>
          <w:kern w:val="0"/>
          <w:sz w:val="24"/>
          <w:highlight w:val="none"/>
        </w:rPr>
        <w:t>我方将严格遵守本项目的有关规定，若有下列情形之一的，将</w:t>
      </w:r>
      <w:r>
        <w:rPr>
          <w:rFonts w:hint="eastAsia" w:ascii="宋体" w:hAnsi="宋体"/>
          <w:kern w:val="0"/>
          <w:sz w:val="24"/>
          <w:highlight w:val="none"/>
        </w:rPr>
        <w:t>由</w:t>
      </w:r>
      <w:r>
        <w:rPr>
          <w:rFonts w:ascii="宋体" w:hAnsi="宋体"/>
          <w:kern w:val="0"/>
          <w:sz w:val="24"/>
          <w:highlight w:val="none"/>
        </w:rPr>
        <w:t>采购人</w:t>
      </w:r>
      <w:r>
        <w:rPr>
          <w:rFonts w:hint="eastAsia" w:ascii="宋体" w:hAnsi="宋体"/>
          <w:kern w:val="0"/>
          <w:sz w:val="24"/>
          <w:highlight w:val="none"/>
        </w:rPr>
        <w:t>或采购代理机构上报上级主管部门进行</w:t>
      </w:r>
      <w:r>
        <w:rPr>
          <w:rFonts w:ascii="宋体" w:hAnsi="宋体"/>
          <w:kern w:val="0"/>
          <w:sz w:val="24"/>
          <w:highlight w:val="none"/>
        </w:rPr>
        <w:t>处罚</w:t>
      </w:r>
      <w:r>
        <w:rPr>
          <w:rFonts w:hint="eastAsia" w:ascii="宋体" w:hAnsi="宋体"/>
          <w:kern w:val="0"/>
          <w:sz w:val="24"/>
          <w:highlight w:val="none"/>
        </w:rPr>
        <w:t>。</w:t>
      </w:r>
    </w:p>
    <w:p w14:paraId="6A0A137E">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（1）提供虚假材料谋取</w:t>
      </w:r>
      <w:r>
        <w:rPr>
          <w:rFonts w:hint="eastAsia" w:ascii="宋体" w:hAnsi="宋体"/>
          <w:kern w:val="0"/>
          <w:sz w:val="24"/>
          <w:highlight w:val="none"/>
        </w:rPr>
        <w:t>中标</w:t>
      </w:r>
      <w:r>
        <w:rPr>
          <w:rFonts w:ascii="宋体" w:hAnsi="宋体"/>
          <w:kern w:val="0"/>
          <w:sz w:val="24"/>
          <w:highlight w:val="none"/>
        </w:rPr>
        <w:t>的；</w:t>
      </w:r>
    </w:p>
    <w:p w14:paraId="47D457C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（2）采取不正当手段诋毁、排挤其他</w:t>
      </w:r>
      <w:r>
        <w:rPr>
          <w:rFonts w:hint="eastAsia" w:ascii="宋体" w:hAnsi="宋体"/>
          <w:kern w:val="0"/>
          <w:sz w:val="24"/>
          <w:highlight w:val="none"/>
        </w:rPr>
        <w:t>投标人</w:t>
      </w:r>
      <w:r>
        <w:rPr>
          <w:rFonts w:ascii="宋体" w:hAnsi="宋体"/>
          <w:kern w:val="0"/>
          <w:sz w:val="24"/>
          <w:highlight w:val="none"/>
        </w:rPr>
        <w:t>的；</w:t>
      </w:r>
    </w:p>
    <w:p w14:paraId="0B013FD1">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（3）与采购人、其它</w:t>
      </w:r>
      <w:r>
        <w:rPr>
          <w:rFonts w:hint="eastAsia" w:ascii="宋体" w:hAnsi="宋体"/>
          <w:kern w:val="0"/>
          <w:sz w:val="24"/>
          <w:highlight w:val="none"/>
        </w:rPr>
        <w:t>投标人</w:t>
      </w:r>
      <w:r>
        <w:rPr>
          <w:rFonts w:ascii="宋体" w:hAnsi="宋体"/>
          <w:kern w:val="0"/>
          <w:sz w:val="24"/>
          <w:highlight w:val="none"/>
        </w:rPr>
        <w:t>或者采购代理机构工作人员恶意串通的；</w:t>
      </w:r>
    </w:p>
    <w:p w14:paraId="61B58BC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（4）向采购人、采购代理机构工作人员</w:t>
      </w:r>
      <w:r>
        <w:rPr>
          <w:rFonts w:hint="eastAsia" w:ascii="宋体" w:hAnsi="宋体"/>
          <w:kern w:val="0"/>
          <w:sz w:val="24"/>
          <w:highlight w:val="none"/>
        </w:rPr>
        <w:t>、评标委员会成员</w:t>
      </w:r>
      <w:r>
        <w:rPr>
          <w:rFonts w:ascii="宋体" w:hAnsi="宋体"/>
          <w:kern w:val="0"/>
          <w:sz w:val="24"/>
          <w:highlight w:val="none"/>
        </w:rPr>
        <w:t>行贿或者提供其他不正当利益的；</w:t>
      </w:r>
    </w:p>
    <w:p w14:paraId="378CC785">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（5）</w:t>
      </w:r>
      <w:r>
        <w:rPr>
          <w:rFonts w:hint="eastAsia" w:ascii="宋体" w:hAnsi="宋体"/>
          <w:kern w:val="0"/>
          <w:sz w:val="24"/>
          <w:highlight w:val="none"/>
        </w:rPr>
        <w:t>投标文件</w:t>
      </w:r>
      <w:r>
        <w:rPr>
          <w:rFonts w:ascii="宋体" w:hAnsi="宋体"/>
          <w:kern w:val="0"/>
          <w:sz w:val="24"/>
          <w:highlight w:val="none"/>
        </w:rPr>
        <w:t>提交截止时间后撤回</w:t>
      </w:r>
      <w:r>
        <w:rPr>
          <w:rFonts w:hint="eastAsia" w:ascii="宋体" w:hAnsi="宋体"/>
          <w:kern w:val="0"/>
          <w:sz w:val="24"/>
          <w:highlight w:val="none"/>
        </w:rPr>
        <w:t>投标文件</w:t>
      </w:r>
      <w:r>
        <w:rPr>
          <w:rFonts w:ascii="宋体" w:hAnsi="宋体"/>
          <w:kern w:val="0"/>
          <w:sz w:val="24"/>
          <w:highlight w:val="none"/>
        </w:rPr>
        <w:t>的；</w:t>
      </w:r>
    </w:p>
    <w:p w14:paraId="5DAF1EA0">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（6）在</w:t>
      </w:r>
      <w:r>
        <w:rPr>
          <w:rFonts w:hint="eastAsia" w:ascii="宋体" w:hAnsi="宋体"/>
          <w:kern w:val="0"/>
          <w:sz w:val="24"/>
          <w:highlight w:val="none"/>
        </w:rPr>
        <w:t>评审</w:t>
      </w:r>
      <w:r>
        <w:rPr>
          <w:rFonts w:ascii="宋体" w:hAnsi="宋体"/>
          <w:kern w:val="0"/>
          <w:sz w:val="24"/>
          <w:highlight w:val="none"/>
        </w:rPr>
        <w:t>期间，影响采购代理机构或</w:t>
      </w:r>
      <w:r>
        <w:rPr>
          <w:rFonts w:hint="eastAsia" w:ascii="宋体" w:hAnsi="宋体"/>
          <w:kern w:val="0"/>
          <w:sz w:val="24"/>
          <w:highlight w:val="none"/>
        </w:rPr>
        <w:t>评标委员会</w:t>
      </w:r>
      <w:r>
        <w:rPr>
          <w:rFonts w:ascii="宋体" w:hAnsi="宋体"/>
          <w:kern w:val="0"/>
          <w:sz w:val="24"/>
          <w:highlight w:val="none"/>
        </w:rPr>
        <w:t>正常履行职责的；</w:t>
      </w:r>
    </w:p>
    <w:p w14:paraId="4C479336">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（7）在采购过程中与采购人</w:t>
      </w:r>
      <w:r>
        <w:rPr>
          <w:rFonts w:hint="eastAsia" w:ascii="宋体" w:hAnsi="宋体"/>
          <w:kern w:val="0"/>
          <w:sz w:val="24"/>
          <w:highlight w:val="none"/>
        </w:rPr>
        <w:t>、采购代理机构、评标委员会成员</w:t>
      </w:r>
      <w:r>
        <w:rPr>
          <w:rFonts w:ascii="宋体" w:hAnsi="宋体"/>
          <w:kern w:val="0"/>
          <w:sz w:val="24"/>
          <w:highlight w:val="none"/>
        </w:rPr>
        <w:t>进行协商的；</w:t>
      </w:r>
    </w:p>
    <w:p w14:paraId="0485A07A">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（8）</w:t>
      </w:r>
      <w:r>
        <w:rPr>
          <w:rFonts w:hint="eastAsia" w:ascii="宋体" w:hAnsi="宋体"/>
          <w:kern w:val="0"/>
          <w:sz w:val="24"/>
          <w:highlight w:val="none"/>
        </w:rPr>
        <w:t>中标</w:t>
      </w:r>
      <w:r>
        <w:rPr>
          <w:rFonts w:ascii="宋体" w:hAnsi="宋体"/>
          <w:kern w:val="0"/>
          <w:sz w:val="24"/>
          <w:highlight w:val="none"/>
        </w:rPr>
        <w:t>后未</w:t>
      </w:r>
      <w:r>
        <w:rPr>
          <w:rFonts w:hint="eastAsia" w:ascii="宋体" w:hAnsi="宋体"/>
          <w:kern w:val="0"/>
          <w:sz w:val="24"/>
          <w:highlight w:val="none"/>
        </w:rPr>
        <w:t>在规定时间内与采购人签订合同或放弃中标或未</w:t>
      </w:r>
      <w:r>
        <w:rPr>
          <w:rFonts w:ascii="宋体" w:hAnsi="宋体"/>
          <w:kern w:val="0"/>
          <w:sz w:val="24"/>
          <w:highlight w:val="none"/>
        </w:rPr>
        <w:t>按</w:t>
      </w:r>
      <w:r>
        <w:rPr>
          <w:rFonts w:hint="eastAsia" w:ascii="宋体" w:hAnsi="宋体"/>
          <w:kern w:val="0"/>
          <w:sz w:val="24"/>
          <w:highlight w:val="none"/>
        </w:rPr>
        <w:t>招标文件</w:t>
      </w:r>
      <w:r>
        <w:rPr>
          <w:rFonts w:ascii="宋体" w:hAnsi="宋体"/>
          <w:kern w:val="0"/>
          <w:sz w:val="24"/>
          <w:highlight w:val="none"/>
        </w:rPr>
        <w:t>、</w:t>
      </w:r>
      <w:r>
        <w:rPr>
          <w:rFonts w:hint="eastAsia" w:ascii="宋体" w:hAnsi="宋体"/>
          <w:kern w:val="0"/>
          <w:sz w:val="24"/>
          <w:highlight w:val="none"/>
        </w:rPr>
        <w:t>投标文件</w:t>
      </w:r>
      <w:r>
        <w:rPr>
          <w:rFonts w:ascii="宋体" w:hAnsi="宋体"/>
          <w:kern w:val="0"/>
          <w:sz w:val="24"/>
          <w:highlight w:val="none"/>
        </w:rPr>
        <w:t>及相关承诺规定签约或与采购人订立背离合同实质性内容的其它协议</w:t>
      </w:r>
      <w:r>
        <w:rPr>
          <w:rFonts w:hint="eastAsia" w:ascii="宋体" w:hAnsi="宋体"/>
          <w:kern w:val="0"/>
          <w:sz w:val="24"/>
          <w:highlight w:val="none"/>
        </w:rPr>
        <w:t>等行为</w:t>
      </w:r>
      <w:r>
        <w:rPr>
          <w:rFonts w:ascii="宋体" w:hAnsi="宋体"/>
          <w:kern w:val="0"/>
          <w:sz w:val="24"/>
          <w:highlight w:val="none"/>
        </w:rPr>
        <w:t>的；</w:t>
      </w:r>
    </w:p>
    <w:p w14:paraId="462D4C62">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（9）未按合同约定履行义务的；</w:t>
      </w:r>
    </w:p>
    <w:p w14:paraId="0F0B3524">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（10）拒绝有关部门监督检查或提供虚假情况的；</w:t>
      </w:r>
    </w:p>
    <w:p w14:paraId="09272FAB">
      <w:pPr>
        <w:keepNext w:val="0"/>
        <w:keepLines w:val="0"/>
        <w:pageBreakBefore w:val="0"/>
        <w:widowControl w:val="0"/>
        <w:kinsoku/>
        <w:overflowPunct/>
        <w:topLinePunct/>
        <w:bidi w:val="0"/>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（11）</w:t>
      </w:r>
      <w:r>
        <w:rPr>
          <w:rFonts w:hint="eastAsia" w:ascii="宋体" w:hAnsi="宋体"/>
          <w:kern w:val="0"/>
          <w:sz w:val="24"/>
          <w:highlight w:val="none"/>
        </w:rPr>
        <w:t>违反</w:t>
      </w:r>
      <w:r>
        <w:rPr>
          <w:rFonts w:ascii="宋体" w:hAnsi="宋体"/>
          <w:kern w:val="0"/>
          <w:sz w:val="24"/>
          <w:highlight w:val="none"/>
        </w:rPr>
        <w:t>其他</w:t>
      </w:r>
      <w:r>
        <w:rPr>
          <w:rFonts w:hint="eastAsia" w:ascii="宋体" w:hAnsi="宋体"/>
          <w:kern w:val="0"/>
          <w:sz w:val="24"/>
          <w:highlight w:val="none"/>
        </w:rPr>
        <w:t>违法</w:t>
      </w:r>
      <w:r>
        <w:rPr>
          <w:rFonts w:ascii="宋体" w:hAnsi="宋体"/>
          <w:kern w:val="0"/>
          <w:sz w:val="24"/>
          <w:highlight w:val="none"/>
        </w:rPr>
        <w:t>违犯行为。</w:t>
      </w:r>
    </w:p>
    <w:p w14:paraId="111A2908">
      <w:pPr>
        <w:keepNext w:val="0"/>
        <w:keepLines w:val="0"/>
        <w:pageBreakBefore w:val="0"/>
        <w:widowControl w:val="0"/>
        <w:kinsoku/>
        <w:overflowPunct/>
        <w:topLinePunct/>
        <w:bidi w:val="0"/>
        <w:adjustRightInd w:val="0"/>
        <w:snapToGrid w:val="0"/>
        <w:spacing w:line="360" w:lineRule="auto"/>
        <w:ind w:firstLine="480"/>
        <w:jc w:val="left"/>
        <w:rPr>
          <w:rFonts w:hint="eastAsia" w:ascii="宋体" w:hAnsi="宋体"/>
          <w:kern w:val="0"/>
          <w:sz w:val="24"/>
          <w:highlight w:val="none"/>
        </w:rPr>
      </w:pPr>
    </w:p>
    <w:p w14:paraId="1E2247F4">
      <w:pPr>
        <w:keepNext w:val="0"/>
        <w:keepLines w:val="0"/>
        <w:pageBreakBefore w:val="0"/>
        <w:widowControl w:val="0"/>
        <w:kinsoku/>
        <w:overflowPunct/>
        <w:topLinePunct/>
        <w:bidi w:val="0"/>
        <w:adjustRightInd w:val="0"/>
        <w:snapToGrid w:val="0"/>
        <w:spacing w:line="360" w:lineRule="auto"/>
        <w:ind w:firstLine="480"/>
        <w:jc w:val="left"/>
        <w:rPr>
          <w:rFonts w:ascii="宋体" w:hAnsi="宋体"/>
          <w:kern w:val="0"/>
          <w:sz w:val="24"/>
          <w:highlight w:val="none"/>
        </w:rPr>
      </w:pPr>
      <w:r>
        <w:rPr>
          <w:rFonts w:hint="eastAsia" w:ascii="宋体" w:hAnsi="宋体"/>
          <w:kern w:val="0"/>
          <w:sz w:val="24"/>
          <w:highlight w:val="none"/>
        </w:rPr>
        <w:t>我公司的信息如下</w:t>
      </w:r>
      <w:r>
        <w:rPr>
          <w:rFonts w:ascii="宋体" w:hAnsi="宋体"/>
          <w:kern w:val="0"/>
          <w:sz w:val="24"/>
          <w:highlight w:val="none"/>
        </w:rPr>
        <w:t>：</w:t>
      </w:r>
    </w:p>
    <w:p w14:paraId="697610AB">
      <w:pPr>
        <w:keepNext w:val="0"/>
        <w:keepLines w:val="0"/>
        <w:pageBreakBefore w:val="0"/>
        <w:widowControl w:val="0"/>
        <w:kinsoku/>
        <w:overflowPunct/>
        <w:topLinePunct/>
        <w:bidi w:val="0"/>
        <w:adjustRightInd w:val="0"/>
        <w:snapToGrid w:val="0"/>
        <w:spacing w:line="360" w:lineRule="auto"/>
        <w:ind w:firstLine="480"/>
        <w:jc w:val="left"/>
        <w:rPr>
          <w:rFonts w:ascii="宋体" w:hAnsi="宋体"/>
          <w:kern w:val="0"/>
          <w:sz w:val="24"/>
          <w:highlight w:val="none"/>
        </w:rPr>
      </w:pPr>
      <w:r>
        <w:rPr>
          <w:rFonts w:hint="eastAsia" w:ascii="宋体" w:hAnsi="宋体"/>
          <w:kern w:val="0"/>
          <w:sz w:val="24"/>
          <w:highlight w:val="none"/>
        </w:rPr>
        <w:t>公司</w:t>
      </w:r>
      <w:r>
        <w:rPr>
          <w:rFonts w:ascii="宋体" w:hAnsi="宋体"/>
          <w:kern w:val="0"/>
          <w:sz w:val="24"/>
          <w:highlight w:val="none"/>
        </w:rPr>
        <w:t>地址：</w:t>
      </w:r>
      <w:r>
        <w:rPr>
          <w:rFonts w:ascii="宋体" w:hAnsi="宋体"/>
          <w:kern w:val="0"/>
          <w:sz w:val="24"/>
          <w:highlight w:val="none"/>
        </w:rPr>
        <w:tab/>
      </w:r>
      <w:r>
        <w:rPr>
          <w:rFonts w:ascii="宋体" w:hAnsi="宋体"/>
          <w:kern w:val="0"/>
          <w:sz w:val="24"/>
          <w:highlight w:val="none"/>
        </w:rPr>
        <w:t xml:space="preserve">                         邮编：</w:t>
      </w:r>
      <w:r>
        <w:rPr>
          <w:rFonts w:ascii="宋体" w:hAnsi="宋体"/>
          <w:kern w:val="0"/>
          <w:sz w:val="24"/>
          <w:highlight w:val="none"/>
        </w:rPr>
        <w:tab/>
      </w:r>
    </w:p>
    <w:p w14:paraId="4E35A7C2">
      <w:pPr>
        <w:keepNext w:val="0"/>
        <w:keepLines w:val="0"/>
        <w:pageBreakBefore w:val="0"/>
        <w:widowControl w:val="0"/>
        <w:kinsoku/>
        <w:overflowPunct/>
        <w:topLinePunct/>
        <w:bidi w:val="0"/>
        <w:adjustRightInd w:val="0"/>
        <w:snapToGrid w:val="0"/>
        <w:spacing w:line="360" w:lineRule="auto"/>
        <w:ind w:firstLine="480"/>
        <w:jc w:val="left"/>
        <w:rPr>
          <w:rFonts w:ascii="宋体" w:hAnsi="宋体"/>
          <w:kern w:val="0"/>
          <w:sz w:val="24"/>
          <w:highlight w:val="none"/>
        </w:rPr>
      </w:pPr>
      <w:r>
        <w:rPr>
          <w:rFonts w:ascii="宋体" w:hAnsi="宋体"/>
          <w:kern w:val="0"/>
          <w:sz w:val="24"/>
          <w:highlight w:val="none"/>
        </w:rPr>
        <w:t>电</w:t>
      </w:r>
      <w:r>
        <w:rPr>
          <w:rFonts w:hint="eastAsia" w:ascii="宋体" w:hAnsi="宋体"/>
          <w:kern w:val="0"/>
          <w:sz w:val="24"/>
          <w:highlight w:val="none"/>
        </w:rPr>
        <w:t xml:space="preserve">    </w:t>
      </w:r>
      <w:r>
        <w:rPr>
          <w:rFonts w:ascii="宋体" w:hAnsi="宋体"/>
          <w:kern w:val="0"/>
          <w:sz w:val="24"/>
          <w:highlight w:val="none"/>
        </w:rPr>
        <w:t>话：</w:t>
      </w:r>
      <w:r>
        <w:rPr>
          <w:rFonts w:ascii="宋体" w:hAnsi="宋体"/>
          <w:kern w:val="0"/>
          <w:sz w:val="24"/>
          <w:highlight w:val="none"/>
        </w:rPr>
        <w:tab/>
      </w:r>
      <w:r>
        <w:rPr>
          <w:rFonts w:ascii="宋体" w:hAnsi="宋体"/>
          <w:kern w:val="0"/>
          <w:sz w:val="24"/>
          <w:highlight w:val="none"/>
        </w:rPr>
        <w:t xml:space="preserve">                         传真：</w:t>
      </w:r>
    </w:p>
    <w:p w14:paraId="5B825658">
      <w:pPr>
        <w:keepNext w:val="0"/>
        <w:keepLines w:val="0"/>
        <w:pageBreakBefore w:val="0"/>
        <w:widowControl w:val="0"/>
        <w:tabs>
          <w:tab w:val="left" w:pos="480"/>
        </w:tabs>
        <w:kinsoku/>
        <w:overflowPunct/>
        <w:topLinePunct/>
        <w:bidi w:val="0"/>
        <w:adjustRightInd w:val="0"/>
        <w:snapToGrid w:val="0"/>
        <w:spacing w:line="360" w:lineRule="auto"/>
        <w:ind w:firstLine="480"/>
        <w:jc w:val="left"/>
        <w:rPr>
          <w:rFonts w:ascii="宋体" w:hAnsi="宋体"/>
          <w:kern w:val="0"/>
          <w:sz w:val="24"/>
          <w:highlight w:val="none"/>
        </w:rPr>
      </w:pPr>
      <w:r>
        <w:rPr>
          <w:rFonts w:hint="eastAsia" w:ascii="宋体" w:hAnsi="宋体"/>
          <w:kern w:val="0"/>
          <w:sz w:val="24"/>
          <w:highlight w:val="none"/>
        </w:rPr>
        <w:t>投标人</w:t>
      </w:r>
      <w:r>
        <w:rPr>
          <w:rFonts w:ascii="宋体" w:hAnsi="宋体"/>
          <w:kern w:val="0"/>
          <w:sz w:val="24"/>
          <w:highlight w:val="none"/>
        </w:rPr>
        <w:t>授权代表姓名：</w:t>
      </w:r>
    </w:p>
    <w:p w14:paraId="7993E401">
      <w:pPr>
        <w:keepNext w:val="0"/>
        <w:keepLines w:val="0"/>
        <w:pageBreakBefore w:val="0"/>
        <w:widowControl w:val="0"/>
        <w:tabs>
          <w:tab w:val="left" w:pos="480"/>
        </w:tabs>
        <w:kinsoku/>
        <w:overflowPunct/>
        <w:topLinePunct/>
        <w:bidi w:val="0"/>
        <w:adjustRightInd w:val="0"/>
        <w:snapToGrid w:val="0"/>
        <w:spacing w:line="360" w:lineRule="auto"/>
        <w:ind w:firstLine="480"/>
        <w:jc w:val="left"/>
        <w:rPr>
          <w:rFonts w:ascii="宋体" w:hAnsi="宋体"/>
          <w:kern w:val="0"/>
          <w:sz w:val="24"/>
          <w:highlight w:val="none"/>
        </w:rPr>
      </w:pPr>
      <w:r>
        <w:rPr>
          <w:rFonts w:hint="eastAsia" w:ascii="宋体" w:hAnsi="宋体"/>
          <w:kern w:val="0"/>
          <w:sz w:val="24"/>
          <w:highlight w:val="none"/>
        </w:rPr>
        <w:t>投标人</w:t>
      </w:r>
      <w:r>
        <w:rPr>
          <w:rFonts w:ascii="宋体" w:hAnsi="宋体"/>
          <w:kern w:val="0"/>
          <w:sz w:val="24"/>
          <w:highlight w:val="none"/>
        </w:rPr>
        <w:t>授权代表联系电话：                （办公）         （移动）</w:t>
      </w:r>
    </w:p>
    <w:p w14:paraId="5806CDFB">
      <w:pPr>
        <w:keepNext w:val="0"/>
        <w:keepLines w:val="0"/>
        <w:pageBreakBefore w:val="0"/>
        <w:widowControl w:val="0"/>
        <w:tabs>
          <w:tab w:val="left" w:pos="480"/>
        </w:tabs>
        <w:kinsoku/>
        <w:overflowPunct/>
        <w:topLinePunct/>
        <w:bidi w:val="0"/>
        <w:adjustRightInd w:val="0"/>
        <w:snapToGrid w:val="0"/>
        <w:spacing w:line="360" w:lineRule="auto"/>
        <w:ind w:firstLine="480"/>
        <w:jc w:val="left"/>
        <w:rPr>
          <w:rFonts w:ascii="宋体" w:hAnsi="宋体"/>
          <w:kern w:val="0"/>
          <w:sz w:val="24"/>
          <w:highlight w:val="none"/>
        </w:rPr>
      </w:pPr>
      <w:r>
        <w:rPr>
          <w:rFonts w:ascii="宋体" w:hAnsi="宋体"/>
          <w:kern w:val="0"/>
          <w:sz w:val="24"/>
          <w:highlight w:val="none"/>
        </w:rPr>
        <w:t>E-mail：</w:t>
      </w:r>
    </w:p>
    <w:p w14:paraId="6BD5CD30">
      <w:pPr>
        <w:keepNext w:val="0"/>
        <w:keepLines w:val="0"/>
        <w:pageBreakBefore w:val="0"/>
        <w:widowControl w:val="0"/>
        <w:tabs>
          <w:tab w:val="left" w:pos="4000"/>
        </w:tabs>
        <w:kinsoku/>
        <w:overflowPunct/>
        <w:topLinePunct/>
        <w:bidi w:val="0"/>
        <w:adjustRightInd w:val="0"/>
        <w:snapToGrid w:val="0"/>
        <w:spacing w:line="360" w:lineRule="auto"/>
        <w:ind w:firstLine="2640" w:firstLineChars="1100"/>
        <w:jc w:val="left"/>
        <w:rPr>
          <w:rFonts w:ascii="宋体" w:hAnsi="宋体"/>
          <w:kern w:val="0"/>
          <w:sz w:val="24"/>
          <w:highlight w:val="none"/>
        </w:rPr>
      </w:pPr>
      <w:r>
        <w:rPr>
          <w:rFonts w:hint="eastAsia" w:ascii="宋体" w:hAnsi="宋体"/>
          <w:kern w:val="0"/>
          <w:sz w:val="24"/>
          <w:highlight w:val="none"/>
        </w:rPr>
        <w:t>投标人</w:t>
      </w:r>
      <w:r>
        <w:rPr>
          <w:rFonts w:ascii="宋体" w:hAnsi="宋体"/>
          <w:kern w:val="0"/>
          <w:sz w:val="24"/>
          <w:highlight w:val="none"/>
        </w:rPr>
        <w:t>名称：</w:t>
      </w:r>
      <w:r>
        <w:rPr>
          <w:rFonts w:ascii="宋体" w:hAnsi="宋体"/>
          <w:kern w:val="0"/>
          <w:sz w:val="24"/>
          <w:highlight w:val="none"/>
          <w:u w:val="single"/>
        </w:rPr>
        <w:t xml:space="preserve">                       </w:t>
      </w:r>
      <w:r>
        <w:rPr>
          <w:rFonts w:ascii="宋体" w:hAnsi="宋体"/>
          <w:kern w:val="0"/>
          <w:sz w:val="24"/>
          <w:highlight w:val="none"/>
        </w:rPr>
        <w:t>(盖章)</w:t>
      </w:r>
    </w:p>
    <w:p w14:paraId="5661C459">
      <w:pPr>
        <w:keepNext w:val="0"/>
        <w:keepLines w:val="0"/>
        <w:pageBreakBefore w:val="0"/>
        <w:widowControl w:val="0"/>
        <w:tabs>
          <w:tab w:val="left" w:pos="4000"/>
        </w:tabs>
        <w:kinsoku/>
        <w:overflowPunct/>
        <w:topLinePunct/>
        <w:bidi w:val="0"/>
        <w:adjustRightInd w:val="0"/>
        <w:snapToGrid w:val="0"/>
        <w:spacing w:line="360" w:lineRule="auto"/>
        <w:ind w:firstLine="2640" w:firstLineChars="1100"/>
        <w:jc w:val="left"/>
        <w:rPr>
          <w:rFonts w:ascii="宋体" w:hAnsi="宋体"/>
          <w:kern w:val="0"/>
          <w:sz w:val="24"/>
          <w:highlight w:val="none"/>
        </w:rPr>
      </w:pPr>
      <w:r>
        <w:rPr>
          <w:rFonts w:hint="eastAsia" w:ascii="宋体" w:hAnsi="宋体"/>
          <w:kern w:val="0"/>
          <w:sz w:val="24"/>
          <w:highlight w:val="none"/>
        </w:rPr>
        <w:t>投标人</w:t>
      </w:r>
      <w:r>
        <w:rPr>
          <w:rFonts w:ascii="宋体" w:hAnsi="宋体"/>
          <w:kern w:val="0"/>
          <w:sz w:val="24"/>
          <w:highlight w:val="none"/>
        </w:rPr>
        <w:t>授权代表：</w:t>
      </w:r>
      <w:r>
        <w:rPr>
          <w:rFonts w:ascii="宋体" w:hAnsi="宋体"/>
          <w:kern w:val="0"/>
          <w:sz w:val="24"/>
          <w:highlight w:val="none"/>
          <w:u w:val="single"/>
        </w:rPr>
        <w:t xml:space="preserve">                  </w:t>
      </w:r>
      <w:r>
        <w:rPr>
          <w:rFonts w:hint="eastAsia" w:ascii="宋体" w:hAnsi="宋体"/>
          <w:kern w:val="0"/>
          <w:sz w:val="24"/>
          <w:highlight w:val="none"/>
        </w:rPr>
        <w:t>（</w:t>
      </w:r>
      <w:r>
        <w:rPr>
          <w:rFonts w:ascii="宋体" w:hAnsi="宋体"/>
          <w:kern w:val="0"/>
          <w:sz w:val="24"/>
          <w:highlight w:val="none"/>
        </w:rPr>
        <w:t>签字或盖章</w:t>
      </w:r>
      <w:r>
        <w:rPr>
          <w:rFonts w:hint="eastAsia" w:ascii="宋体" w:hAnsi="宋体"/>
          <w:kern w:val="0"/>
          <w:sz w:val="24"/>
          <w:highlight w:val="none"/>
        </w:rPr>
        <w:t>）</w:t>
      </w:r>
    </w:p>
    <w:p w14:paraId="32C231BE">
      <w:pPr>
        <w:keepNext w:val="0"/>
        <w:keepLines w:val="0"/>
        <w:pageBreakBefore w:val="0"/>
        <w:widowControl w:val="0"/>
        <w:tabs>
          <w:tab w:val="left" w:pos="4000"/>
        </w:tabs>
        <w:kinsoku/>
        <w:overflowPunct/>
        <w:topLinePunct/>
        <w:bidi w:val="0"/>
        <w:adjustRightInd w:val="0"/>
        <w:snapToGrid w:val="0"/>
        <w:spacing w:line="360" w:lineRule="auto"/>
        <w:ind w:firstLine="2640" w:firstLineChars="1100"/>
        <w:jc w:val="left"/>
        <w:rPr>
          <w:rFonts w:ascii="宋体" w:hAnsi="宋体"/>
          <w:kern w:val="0"/>
          <w:sz w:val="24"/>
          <w:highlight w:val="none"/>
        </w:rPr>
      </w:pPr>
      <w:r>
        <w:rPr>
          <w:rFonts w:ascii="宋体" w:hAnsi="宋体"/>
          <w:kern w:val="0"/>
          <w:sz w:val="24"/>
          <w:highlight w:val="none"/>
        </w:rPr>
        <w:t>日      期：</w:t>
      </w:r>
    </w:p>
    <w:p w14:paraId="1996B1A5">
      <w:pPr>
        <w:keepNext w:val="0"/>
        <w:keepLines w:val="0"/>
        <w:pageBreakBefore w:val="0"/>
        <w:widowControl w:val="0"/>
        <w:kinsoku/>
        <w:overflowPunct/>
        <w:topLinePunct/>
        <w:bidi w:val="0"/>
        <w:snapToGrid w:val="0"/>
        <w:spacing w:line="360" w:lineRule="auto"/>
        <w:ind w:firstLine="482" w:firstLineChars="200"/>
        <w:jc w:val="left"/>
        <w:rPr>
          <w:b/>
          <w:bCs/>
          <w:kern w:val="0"/>
          <w:sz w:val="24"/>
          <w:highlight w:val="none"/>
        </w:rPr>
      </w:pPr>
      <w:r>
        <w:rPr>
          <w:b/>
          <w:bCs/>
          <w:kern w:val="0"/>
          <w:sz w:val="24"/>
          <w:highlight w:val="none"/>
        </w:rPr>
        <w:t>注：除可填报项目外，对本</w:t>
      </w:r>
      <w:r>
        <w:rPr>
          <w:rFonts w:hint="eastAsia"/>
          <w:b/>
          <w:bCs/>
          <w:kern w:val="0"/>
          <w:sz w:val="24"/>
          <w:highlight w:val="none"/>
        </w:rPr>
        <w:t>投标</w:t>
      </w:r>
      <w:r>
        <w:rPr>
          <w:b/>
          <w:bCs/>
          <w:kern w:val="0"/>
          <w:sz w:val="24"/>
          <w:highlight w:val="none"/>
        </w:rPr>
        <w:t>函内容的修改将被视为非实质性响应，从而导致该</w:t>
      </w:r>
      <w:r>
        <w:rPr>
          <w:rFonts w:hint="eastAsia"/>
          <w:b/>
          <w:bCs/>
          <w:kern w:val="0"/>
          <w:sz w:val="24"/>
          <w:highlight w:val="none"/>
        </w:rPr>
        <w:t>投标文件</w:t>
      </w:r>
      <w:r>
        <w:rPr>
          <w:b/>
          <w:bCs/>
          <w:kern w:val="0"/>
          <w:sz w:val="24"/>
          <w:highlight w:val="none"/>
        </w:rPr>
        <w:t>无效。</w:t>
      </w:r>
    </w:p>
    <w:p w14:paraId="4B7F1073">
      <w:pPr>
        <w:keepNext w:val="0"/>
        <w:keepLines w:val="0"/>
        <w:pageBreakBefore w:val="0"/>
        <w:widowControl w:val="0"/>
        <w:kinsoku/>
        <w:overflowPunct/>
        <w:bidi w:val="0"/>
        <w:jc w:val="left"/>
        <w:rPr>
          <w:rFonts w:ascii="宋体" w:hAnsi="宋体"/>
          <w:b/>
          <w:kern w:val="0"/>
          <w:sz w:val="24"/>
          <w:highlight w:val="none"/>
        </w:rPr>
      </w:pPr>
      <w:r>
        <w:rPr>
          <w:rFonts w:ascii="宋体" w:hAnsi="宋体"/>
          <w:b/>
          <w:kern w:val="0"/>
          <w:sz w:val="24"/>
          <w:highlight w:val="none"/>
        </w:rPr>
        <w:br w:type="page"/>
      </w:r>
    </w:p>
    <w:p w14:paraId="1CD70558">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bookmarkStart w:id="83" w:name="_Toc180347489"/>
      <w:r>
        <w:rPr>
          <w:rFonts w:ascii="宋体" w:hAnsi="宋体"/>
          <w:b/>
          <w:kern w:val="0"/>
          <w:sz w:val="24"/>
          <w:highlight w:val="none"/>
        </w:rPr>
        <w:t>4．</w:t>
      </w:r>
      <w:r>
        <w:rPr>
          <w:rFonts w:hint="eastAsia" w:ascii="宋体" w:hAnsi="宋体"/>
          <w:b/>
          <w:kern w:val="0"/>
          <w:sz w:val="24"/>
          <w:highlight w:val="none"/>
        </w:rPr>
        <w:t>开标一览表</w:t>
      </w:r>
      <w:bookmarkEnd w:id="83"/>
    </w:p>
    <w:p w14:paraId="6044EB5A">
      <w:pPr>
        <w:keepNext w:val="0"/>
        <w:keepLines w:val="0"/>
        <w:pageBreakBefore w:val="0"/>
        <w:widowControl w:val="0"/>
        <w:kinsoku/>
        <w:overflowPunct/>
        <w:topLinePunct/>
        <w:bidi w:val="0"/>
        <w:spacing w:line="330" w:lineRule="atLeast"/>
        <w:ind w:firstLine="420"/>
        <w:jc w:val="left"/>
        <w:rPr>
          <w:kern w:val="0"/>
          <w:szCs w:val="21"/>
          <w:highlight w:val="none"/>
        </w:rPr>
      </w:pPr>
    </w:p>
    <w:p w14:paraId="499EF3F3">
      <w:pPr>
        <w:keepNext w:val="0"/>
        <w:keepLines w:val="0"/>
        <w:pageBreakBefore w:val="0"/>
        <w:widowControl w:val="0"/>
        <w:kinsoku/>
        <w:overflowPunct/>
        <w:topLinePunct/>
        <w:bidi w:val="0"/>
        <w:adjustRightInd w:val="0"/>
        <w:snapToGrid w:val="0"/>
        <w:spacing w:line="360" w:lineRule="auto"/>
        <w:jc w:val="center"/>
        <w:rPr>
          <w:b/>
          <w:kern w:val="0"/>
          <w:sz w:val="28"/>
          <w:szCs w:val="28"/>
          <w:highlight w:val="none"/>
        </w:rPr>
      </w:pPr>
      <w:r>
        <w:rPr>
          <w:rFonts w:hint="eastAsia"/>
          <w:b/>
          <w:kern w:val="0"/>
          <w:sz w:val="28"/>
          <w:szCs w:val="28"/>
          <w:highlight w:val="none"/>
        </w:rPr>
        <w:t>开标一览表</w:t>
      </w:r>
    </w:p>
    <w:p w14:paraId="0095FE84">
      <w:pPr>
        <w:keepNext w:val="0"/>
        <w:keepLines w:val="0"/>
        <w:pageBreakBefore w:val="0"/>
        <w:widowControl w:val="0"/>
        <w:kinsoku/>
        <w:overflowPunct/>
        <w:topLinePunct/>
        <w:bidi w:val="0"/>
        <w:snapToGrid w:val="0"/>
        <w:spacing w:line="360" w:lineRule="auto"/>
        <w:ind w:firstLine="480"/>
        <w:jc w:val="left"/>
        <w:rPr>
          <w:kern w:val="0"/>
          <w:sz w:val="24"/>
          <w:highlight w:val="none"/>
        </w:rPr>
      </w:pPr>
      <w:r>
        <w:rPr>
          <w:kern w:val="0"/>
          <w:sz w:val="24"/>
          <w:highlight w:val="none"/>
        </w:rPr>
        <w:t>项目名称：</w:t>
      </w:r>
    </w:p>
    <w:p w14:paraId="237EA169">
      <w:pPr>
        <w:keepNext w:val="0"/>
        <w:keepLines w:val="0"/>
        <w:pageBreakBefore w:val="0"/>
        <w:widowControl w:val="0"/>
        <w:kinsoku/>
        <w:overflowPunct/>
        <w:topLinePunct/>
        <w:bidi w:val="0"/>
        <w:snapToGrid w:val="0"/>
        <w:spacing w:line="360" w:lineRule="auto"/>
        <w:ind w:firstLine="480"/>
        <w:jc w:val="left"/>
        <w:rPr>
          <w:kern w:val="0"/>
          <w:sz w:val="24"/>
          <w:highlight w:val="none"/>
        </w:rPr>
      </w:pPr>
      <w:r>
        <w:rPr>
          <w:kern w:val="0"/>
          <w:sz w:val="24"/>
          <w:highlight w:val="none"/>
        </w:rPr>
        <w:t xml:space="preserve">项目编号： </w:t>
      </w:r>
    </w:p>
    <w:p w14:paraId="183F3B7F">
      <w:pPr>
        <w:keepNext w:val="0"/>
        <w:keepLines w:val="0"/>
        <w:pageBreakBefore w:val="0"/>
        <w:widowControl w:val="0"/>
        <w:kinsoku/>
        <w:overflowPunct/>
        <w:topLinePunct w:val="0"/>
        <w:bidi w:val="0"/>
        <w:snapToGrid w:val="0"/>
        <w:spacing w:line="360" w:lineRule="auto"/>
        <w:ind w:firstLine="6240" w:firstLineChars="2600"/>
        <w:jc w:val="left"/>
        <w:textAlignment w:val="auto"/>
        <w:rPr>
          <w:rFonts w:hint="eastAsia" w:ascii="宋体" w:hAnsi="宋体" w:eastAsia="宋体" w:cs="宋体"/>
          <w:color w:val="auto"/>
          <w:kern w:val="0"/>
          <w:sz w:val="28"/>
          <w:highlight w:val="none"/>
        </w:rPr>
      </w:pPr>
      <w:r>
        <w:rPr>
          <w:rFonts w:hint="eastAsia" w:ascii="宋体" w:hAnsi="宋体" w:eastAsia="宋体" w:cs="宋体"/>
          <w:color w:val="auto"/>
          <w:kern w:val="0"/>
          <w:sz w:val="24"/>
          <w:highlight w:val="none"/>
        </w:rPr>
        <w:t>货币：人民币/元</w:t>
      </w:r>
    </w:p>
    <w:tbl>
      <w:tblPr>
        <w:tblStyle w:val="23"/>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981"/>
        <w:gridCol w:w="1741"/>
        <w:gridCol w:w="1140"/>
        <w:gridCol w:w="1196"/>
      </w:tblGrid>
      <w:tr w14:paraId="50B5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2" w:type="dxa"/>
            <w:noWrap w:val="0"/>
            <w:vAlign w:val="center"/>
          </w:tcPr>
          <w:p w14:paraId="1C2CE985">
            <w:pPr>
              <w:keepNext w:val="0"/>
              <w:keepLines w:val="0"/>
              <w:pageBreakBefore w:val="0"/>
              <w:widowControl w:val="0"/>
              <w:kinsoku/>
              <w:overflowPunct/>
              <w:bidi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4981" w:type="dxa"/>
            <w:noWrap w:val="0"/>
            <w:vAlign w:val="center"/>
          </w:tcPr>
          <w:p w14:paraId="44C80E2F">
            <w:pPr>
              <w:keepNext w:val="0"/>
              <w:keepLines w:val="0"/>
              <w:pageBreakBefore w:val="0"/>
              <w:widowControl w:val="0"/>
              <w:kinsoku/>
              <w:overflowPunct/>
              <w:bidi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服务名称</w:t>
            </w:r>
          </w:p>
        </w:tc>
        <w:tc>
          <w:tcPr>
            <w:tcW w:w="1741" w:type="dxa"/>
            <w:shd w:val="clear" w:color="auto" w:fill="auto"/>
            <w:noWrap w:val="0"/>
            <w:vAlign w:val="center"/>
          </w:tcPr>
          <w:p w14:paraId="73F93599">
            <w:pPr>
              <w:keepNext w:val="0"/>
              <w:keepLines w:val="0"/>
              <w:pageBreakBefore w:val="0"/>
              <w:widowControl w:val="0"/>
              <w:kinsoku/>
              <w:overflowPunct/>
              <w:bidi w:val="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所属行业</w:t>
            </w:r>
          </w:p>
        </w:tc>
        <w:tc>
          <w:tcPr>
            <w:tcW w:w="1140" w:type="dxa"/>
            <w:shd w:val="clear" w:color="auto" w:fill="auto"/>
            <w:noWrap w:val="0"/>
            <w:vAlign w:val="center"/>
          </w:tcPr>
          <w:p w14:paraId="00B38779">
            <w:pPr>
              <w:keepNext w:val="0"/>
              <w:keepLines w:val="0"/>
              <w:pageBreakBefore w:val="0"/>
              <w:widowControl w:val="0"/>
              <w:kinsoku/>
              <w:overflowPunct/>
              <w:bidi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6" w:type="dxa"/>
            <w:noWrap w:val="0"/>
            <w:vAlign w:val="center"/>
          </w:tcPr>
          <w:p w14:paraId="4C629204">
            <w:pPr>
              <w:keepNext w:val="0"/>
              <w:keepLines w:val="0"/>
              <w:pageBreakBefore w:val="0"/>
              <w:widowControl w:val="0"/>
              <w:kinsoku/>
              <w:overflowPunct/>
              <w:bidi w:val="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单位</w:t>
            </w:r>
          </w:p>
        </w:tc>
      </w:tr>
      <w:tr w14:paraId="2212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82" w:type="dxa"/>
            <w:tcBorders>
              <w:right w:val="single" w:color="auto" w:sz="4" w:space="0"/>
            </w:tcBorders>
            <w:noWrap w:val="0"/>
            <w:vAlign w:val="center"/>
          </w:tcPr>
          <w:p w14:paraId="3B83C12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4981" w:type="dxa"/>
            <w:tcBorders>
              <w:right w:val="single" w:color="auto" w:sz="4" w:space="0"/>
            </w:tcBorders>
            <w:noWrap w:val="0"/>
            <w:vAlign w:val="center"/>
          </w:tcPr>
          <w:p w14:paraId="12570B9A">
            <w:pPr>
              <w:keepNext w:val="0"/>
              <w:keepLines w:val="0"/>
              <w:pageBreakBefore w:val="0"/>
              <w:widowControl w:val="0"/>
              <w:kinsoku/>
              <w:overflowPunct/>
              <w:bidi w:val="0"/>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太原市DRG支付方式改革第三方服务项目</w:t>
            </w:r>
          </w:p>
        </w:tc>
        <w:tc>
          <w:tcPr>
            <w:tcW w:w="1741" w:type="dxa"/>
            <w:shd w:val="clear" w:color="auto" w:fill="auto"/>
            <w:noWrap w:val="0"/>
            <w:vAlign w:val="center"/>
          </w:tcPr>
          <w:p w14:paraId="748E890D">
            <w:pPr>
              <w:keepNext w:val="0"/>
              <w:keepLines w:val="0"/>
              <w:pageBreakBefore w:val="0"/>
              <w:widowControl w:val="0"/>
              <w:kinsoku/>
              <w:overflowPunct/>
              <w:bidi w:val="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软件和信息技术服务业</w:t>
            </w:r>
          </w:p>
        </w:tc>
        <w:tc>
          <w:tcPr>
            <w:tcW w:w="1140" w:type="dxa"/>
            <w:shd w:val="clear" w:color="auto" w:fill="auto"/>
            <w:noWrap w:val="0"/>
            <w:vAlign w:val="center"/>
          </w:tcPr>
          <w:p w14:paraId="5CB4D777">
            <w:pPr>
              <w:keepNext w:val="0"/>
              <w:keepLines w:val="0"/>
              <w:pageBreakBefore w:val="0"/>
              <w:widowControl w:val="0"/>
              <w:kinsoku/>
              <w:overflowPunct/>
              <w:bidi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1</w:t>
            </w:r>
          </w:p>
        </w:tc>
        <w:tc>
          <w:tcPr>
            <w:tcW w:w="1196" w:type="dxa"/>
            <w:noWrap w:val="0"/>
            <w:vAlign w:val="center"/>
          </w:tcPr>
          <w:p w14:paraId="5A8F16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w:t>
            </w:r>
          </w:p>
        </w:tc>
      </w:tr>
      <w:tr w14:paraId="756C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40" w:type="dxa"/>
            <w:gridSpan w:val="5"/>
            <w:noWrap w:val="0"/>
            <w:vAlign w:val="center"/>
          </w:tcPr>
          <w:p w14:paraId="61A261E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含税</w:t>
            </w:r>
            <w:r>
              <w:rPr>
                <w:rFonts w:hint="eastAsia" w:ascii="宋体" w:hAnsi="宋体" w:eastAsia="宋体" w:cs="宋体"/>
                <w:color w:val="auto"/>
                <w:kern w:val="0"/>
                <w:sz w:val="24"/>
                <w:highlight w:val="none"/>
              </w:rPr>
              <w:t>总报价（大写）：</w:t>
            </w:r>
            <w:r>
              <w:rPr>
                <w:rFonts w:hint="eastAsia" w:ascii="宋体" w:hAnsi="宋体" w:eastAsia="宋体" w:cs="宋体"/>
                <w:color w:val="auto"/>
                <w:kern w:val="0"/>
                <w:sz w:val="28"/>
                <w:highlight w:val="none"/>
              </w:rPr>
              <w:t xml:space="preserve">                     </w:t>
            </w:r>
            <w:r>
              <w:rPr>
                <w:rFonts w:hint="eastAsia" w:ascii="宋体" w:hAnsi="宋体" w:eastAsia="宋体" w:cs="宋体"/>
                <w:color w:val="auto"/>
                <w:kern w:val="0"/>
                <w:sz w:val="24"/>
                <w:highlight w:val="none"/>
              </w:rPr>
              <w:t>小写：</w:t>
            </w:r>
            <w:r>
              <w:rPr>
                <w:rFonts w:hint="eastAsia" w:ascii="宋体" w:hAnsi="宋体" w:cs="宋体"/>
                <w:color w:val="auto"/>
                <w:kern w:val="0"/>
                <w:sz w:val="24"/>
                <w:highlight w:val="none"/>
                <w:lang w:val="en-US" w:eastAsia="zh-CN"/>
              </w:rPr>
              <w:t>¥</w:t>
            </w:r>
          </w:p>
        </w:tc>
      </w:tr>
    </w:tbl>
    <w:p w14:paraId="34B03E76">
      <w:pPr>
        <w:keepNext w:val="0"/>
        <w:keepLines w:val="0"/>
        <w:pageBreakBefore w:val="0"/>
        <w:widowControl w:val="0"/>
        <w:kinsoku/>
        <w:overflowPunct/>
        <w:bidi w:val="0"/>
        <w:rPr>
          <w:rFonts w:hint="eastAsia" w:ascii="宋体" w:hAnsi="宋体" w:eastAsia="宋体" w:cs="宋体"/>
          <w:color w:val="auto"/>
          <w:kern w:val="0"/>
          <w:sz w:val="24"/>
          <w:highlight w:val="none"/>
        </w:rPr>
      </w:pPr>
    </w:p>
    <w:p w14:paraId="55D2C234">
      <w:pPr>
        <w:keepNext w:val="0"/>
        <w:keepLines w:val="0"/>
        <w:pageBreakBefore w:val="0"/>
        <w:widowControl w:val="0"/>
        <w:tabs>
          <w:tab w:val="left" w:pos="4000"/>
        </w:tabs>
        <w:kinsoku/>
        <w:overflowPunct/>
        <w:topLinePunct/>
        <w:bidi w:val="0"/>
        <w:adjustRightInd w:val="0"/>
        <w:snapToGrid w:val="0"/>
        <w:spacing w:line="360" w:lineRule="auto"/>
        <w:ind w:firstLine="2730" w:firstLineChars="1300"/>
        <w:jc w:val="left"/>
        <w:rPr>
          <w:rFonts w:hint="eastAsia" w:ascii="宋体" w:hAnsi="宋体"/>
          <w:kern w:val="0"/>
          <w:szCs w:val="21"/>
          <w:highlight w:val="none"/>
        </w:rPr>
      </w:pPr>
    </w:p>
    <w:p w14:paraId="765DCD40">
      <w:pPr>
        <w:pStyle w:val="44"/>
        <w:keepNext w:val="0"/>
        <w:keepLines w:val="0"/>
        <w:pageBreakBefore w:val="0"/>
        <w:widowControl w:val="0"/>
        <w:kinsoku/>
        <w:overflowPunct/>
        <w:bidi w:val="0"/>
        <w:rPr>
          <w:rFonts w:hint="eastAsia"/>
          <w:highlight w:val="none"/>
        </w:rPr>
      </w:pPr>
    </w:p>
    <w:p w14:paraId="6A09F717">
      <w:pPr>
        <w:keepNext w:val="0"/>
        <w:keepLines w:val="0"/>
        <w:pageBreakBefore w:val="0"/>
        <w:widowControl w:val="0"/>
        <w:tabs>
          <w:tab w:val="left" w:pos="4000"/>
        </w:tabs>
        <w:kinsoku/>
        <w:overflowPunct/>
        <w:topLinePunct/>
        <w:bidi w:val="0"/>
        <w:adjustRightInd w:val="0"/>
        <w:snapToGrid w:val="0"/>
        <w:spacing w:line="360" w:lineRule="auto"/>
        <w:ind w:firstLine="3120" w:firstLineChars="1300"/>
        <w:jc w:val="left"/>
        <w:rPr>
          <w:rFonts w:ascii="宋体" w:hAnsi="宋体"/>
          <w:kern w:val="0"/>
          <w:sz w:val="24"/>
          <w:szCs w:val="24"/>
          <w:highlight w:val="none"/>
        </w:rPr>
      </w:pPr>
      <w:r>
        <w:rPr>
          <w:rFonts w:hint="eastAsia" w:ascii="宋体" w:hAnsi="宋体"/>
          <w:kern w:val="0"/>
          <w:sz w:val="24"/>
          <w:szCs w:val="24"/>
          <w:highlight w:val="none"/>
        </w:rPr>
        <w:t>投标人</w:t>
      </w:r>
      <w:r>
        <w:rPr>
          <w:rFonts w:ascii="宋体" w:hAnsi="宋体"/>
          <w:kern w:val="0"/>
          <w:sz w:val="24"/>
          <w:szCs w:val="24"/>
          <w:highlight w:val="none"/>
        </w:rPr>
        <w:t>名称：</w:t>
      </w:r>
      <w:r>
        <w:rPr>
          <w:rFonts w:ascii="宋体" w:hAnsi="宋体"/>
          <w:kern w:val="0"/>
          <w:sz w:val="24"/>
          <w:szCs w:val="24"/>
          <w:highlight w:val="none"/>
          <w:u w:val="single"/>
        </w:rPr>
        <w:t xml:space="preserve">                      </w:t>
      </w:r>
      <w:r>
        <w:rPr>
          <w:rFonts w:ascii="宋体" w:hAnsi="宋体"/>
          <w:kern w:val="0"/>
          <w:sz w:val="24"/>
          <w:szCs w:val="24"/>
          <w:highlight w:val="none"/>
        </w:rPr>
        <w:t>(盖章)</w:t>
      </w:r>
    </w:p>
    <w:p w14:paraId="240C68E7">
      <w:pPr>
        <w:keepNext w:val="0"/>
        <w:keepLines w:val="0"/>
        <w:pageBreakBefore w:val="0"/>
        <w:widowControl w:val="0"/>
        <w:tabs>
          <w:tab w:val="left" w:pos="3760"/>
        </w:tabs>
        <w:kinsoku/>
        <w:overflowPunct/>
        <w:topLinePunct/>
        <w:bidi w:val="0"/>
        <w:adjustRightInd w:val="0"/>
        <w:snapToGrid w:val="0"/>
        <w:spacing w:line="360" w:lineRule="auto"/>
        <w:ind w:firstLine="3120" w:firstLineChars="1300"/>
        <w:jc w:val="left"/>
        <w:rPr>
          <w:rFonts w:ascii="宋体" w:hAnsi="宋体"/>
          <w:kern w:val="0"/>
          <w:sz w:val="24"/>
          <w:szCs w:val="24"/>
          <w:highlight w:val="none"/>
        </w:rPr>
      </w:pPr>
      <w:r>
        <w:rPr>
          <w:rFonts w:hint="eastAsia" w:ascii="宋体" w:hAnsi="宋体"/>
          <w:kern w:val="0"/>
          <w:sz w:val="24"/>
          <w:szCs w:val="24"/>
          <w:highlight w:val="none"/>
        </w:rPr>
        <w:t>投标人</w:t>
      </w:r>
      <w:r>
        <w:rPr>
          <w:rFonts w:ascii="宋体" w:hAnsi="宋体"/>
          <w:kern w:val="0"/>
          <w:sz w:val="24"/>
          <w:szCs w:val="24"/>
          <w:highlight w:val="none"/>
        </w:rPr>
        <w:t>授权代表：</w:t>
      </w:r>
      <w:r>
        <w:rPr>
          <w:rFonts w:ascii="宋体" w:hAnsi="宋体"/>
          <w:kern w:val="0"/>
          <w:sz w:val="24"/>
          <w:szCs w:val="24"/>
          <w:highlight w:val="none"/>
          <w:u w:val="single"/>
        </w:rPr>
        <w:t xml:space="preserve">                 </w:t>
      </w:r>
      <w:r>
        <w:rPr>
          <w:rFonts w:ascii="宋体" w:hAnsi="宋体"/>
          <w:kern w:val="0"/>
          <w:sz w:val="24"/>
          <w:szCs w:val="24"/>
          <w:highlight w:val="none"/>
        </w:rPr>
        <w:t>(签字或盖章)</w:t>
      </w:r>
    </w:p>
    <w:p w14:paraId="5906B61F">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cs="汉仪书宋二S"/>
          <w:sz w:val="24"/>
          <w:szCs w:val="24"/>
          <w:highlight w:val="none"/>
        </w:rPr>
      </w:pPr>
      <w:r>
        <w:rPr>
          <w:rFonts w:ascii="宋体" w:hAnsi="宋体"/>
          <w:sz w:val="24"/>
          <w:szCs w:val="24"/>
          <w:highlight w:val="none"/>
        </w:rPr>
        <w:t>日      期：</w:t>
      </w:r>
    </w:p>
    <w:p w14:paraId="20D0D382">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b/>
          <w:kern w:val="0"/>
          <w:sz w:val="24"/>
          <w:highlight w:val="none"/>
          <w:lang w:eastAsia="zh-CN"/>
        </w:rPr>
      </w:pPr>
      <w:r>
        <w:rPr>
          <w:b/>
          <w:kern w:val="0"/>
          <w:sz w:val="24"/>
          <w:highlight w:val="none"/>
        </w:rPr>
        <w:br w:type="page"/>
      </w:r>
      <w:bookmarkStart w:id="84" w:name="_Toc180347490"/>
      <w:r>
        <w:rPr>
          <w:rFonts w:ascii="宋体" w:hAnsi="宋体"/>
          <w:b/>
          <w:kern w:val="0"/>
          <w:sz w:val="24"/>
          <w:highlight w:val="none"/>
        </w:rPr>
        <w:t>5．</w:t>
      </w:r>
      <w:bookmarkEnd w:id="84"/>
      <w:r>
        <w:rPr>
          <w:rFonts w:hint="eastAsia" w:ascii="宋体" w:hAnsi="宋体"/>
          <w:b/>
          <w:kern w:val="0"/>
          <w:sz w:val="24"/>
          <w:highlight w:val="none"/>
          <w:lang w:eastAsia="zh-CN"/>
        </w:rPr>
        <w:t>投标文件商务要求响应表</w:t>
      </w:r>
    </w:p>
    <w:p w14:paraId="3C14EC9E">
      <w:pPr>
        <w:keepNext w:val="0"/>
        <w:keepLines w:val="0"/>
        <w:pageBreakBefore w:val="0"/>
        <w:widowControl w:val="0"/>
        <w:kinsoku/>
        <w:overflowPunct/>
        <w:topLinePunct/>
        <w:bidi w:val="0"/>
        <w:adjustRightInd w:val="0"/>
        <w:snapToGrid w:val="0"/>
        <w:spacing w:line="360" w:lineRule="auto"/>
        <w:ind w:firstLine="562"/>
        <w:jc w:val="center"/>
        <w:rPr>
          <w:rFonts w:hint="eastAsia"/>
          <w:b/>
          <w:kern w:val="0"/>
          <w:sz w:val="28"/>
          <w:szCs w:val="28"/>
          <w:highlight w:val="none"/>
          <w:lang w:eastAsia="zh-CN"/>
        </w:rPr>
      </w:pPr>
    </w:p>
    <w:p w14:paraId="0A65ADF3">
      <w:pPr>
        <w:keepNext w:val="0"/>
        <w:keepLines w:val="0"/>
        <w:pageBreakBefore w:val="0"/>
        <w:widowControl w:val="0"/>
        <w:kinsoku/>
        <w:overflowPunct/>
        <w:topLinePunct/>
        <w:bidi w:val="0"/>
        <w:adjustRightInd w:val="0"/>
        <w:snapToGrid w:val="0"/>
        <w:spacing w:line="360" w:lineRule="auto"/>
        <w:ind w:firstLine="562"/>
        <w:jc w:val="center"/>
        <w:rPr>
          <w:rFonts w:hint="eastAsia" w:eastAsia="宋体"/>
          <w:b/>
          <w:kern w:val="0"/>
          <w:sz w:val="28"/>
          <w:szCs w:val="28"/>
          <w:highlight w:val="none"/>
          <w:lang w:eastAsia="zh-CN"/>
        </w:rPr>
      </w:pPr>
      <w:r>
        <w:rPr>
          <w:rFonts w:hint="eastAsia"/>
          <w:b/>
          <w:kern w:val="0"/>
          <w:sz w:val="28"/>
          <w:szCs w:val="28"/>
          <w:highlight w:val="none"/>
          <w:lang w:eastAsia="zh-CN"/>
        </w:rPr>
        <w:t>投标文件商务要求响应表</w:t>
      </w:r>
    </w:p>
    <w:p w14:paraId="5C68DFEE">
      <w:pPr>
        <w:keepNext w:val="0"/>
        <w:keepLines w:val="0"/>
        <w:pageBreakBefore w:val="0"/>
        <w:widowControl w:val="0"/>
        <w:kinsoku/>
        <w:overflowPunct/>
        <w:topLinePunct/>
        <w:bidi w:val="0"/>
        <w:spacing w:line="360" w:lineRule="auto"/>
        <w:ind w:firstLine="480"/>
        <w:rPr>
          <w:sz w:val="24"/>
          <w:highlight w:val="none"/>
        </w:rPr>
      </w:pPr>
      <w:r>
        <w:rPr>
          <w:sz w:val="24"/>
          <w:highlight w:val="none"/>
        </w:rPr>
        <w:t>项目名称：</w:t>
      </w:r>
    </w:p>
    <w:p w14:paraId="0B16AABC">
      <w:pPr>
        <w:keepNext w:val="0"/>
        <w:keepLines w:val="0"/>
        <w:pageBreakBefore w:val="0"/>
        <w:widowControl w:val="0"/>
        <w:kinsoku/>
        <w:overflowPunct/>
        <w:topLinePunct/>
        <w:bidi w:val="0"/>
        <w:spacing w:line="360" w:lineRule="auto"/>
        <w:ind w:firstLine="480"/>
        <w:rPr>
          <w:kern w:val="0"/>
          <w:szCs w:val="21"/>
          <w:highlight w:val="none"/>
        </w:rPr>
      </w:pPr>
      <w:r>
        <w:rPr>
          <w:sz w:val="24"/>
          <w:highlight w:val="none"/>
        </w:rPr>
        <w:t>项目编号：</w:t>
      </w:r>
    </w:p>
    <w:tbl>
      <w:tblPr>
        <w:tblStyle w:val="23"/>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30"/>
        <w:gridCol w:w="3238"/>
        <w:gridCol w:w="3145"/>
        <w:gridCol w:w="1026"/>
      </w:tblGrid>
      <w:tr w14:paraId="20C2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center"/>
          </w:tcPr>
          <w:p w14:paraId="09DBBB72">
            <w:pPr>
              <w:keepNext w:val="0"/>
              <w:keepLines w:val="0"/>
              <w:pageBreakBefore w:val="0"/>
              <w:widowControl w:val="0"/>
              <w:kinsoku/>
              <w:overflowPunct/>
              <w:bidi w:val="0"/>
              <w:adjustRightInd w:val="0"/>
              <w:snapToGrid w:val="0"/>
              <w:jc w:val="center"/>
              <w:rPr>
                <w:rFonts w:ascii="宋体" w:hAnsi="宋体"/>
                <w:sz w:val="24"/>
                <w:highlight w:val="none"/>
              </w:rPr>
            </w:pPr>
            <w:r>
              <w:rPr>
                <w:rFonts w:ascii="宋体" w:hAnsi="宋体"/>
                <w:sz w:val="24"/>
                <w:highlight w:val="none"/>
              </w:rPr>
              <w:t>序号</w:t>
            </w:r>
          </w:p>
        </w:tc>
        <w:tc>
          <w:tcPr>
            <w:tcW w:w="1230" w:type="dxa"/>
            <w:vAlign w:val="center"/>
          </w:tcPr>
          <w:p w14:paraId="11FECC4E">
            <w:pPr>
              <w:keepNext w:val="0"/>
              <w:keepLines w:val="0"/>
              <w:pageBreakBefore w:val="0"/>
              <w:widowControl w:val="0"/>
              <w:kinsoku/>
              <w:overflowPunct/>
              <w:bidi w:val="0"/>
              <w:adjustRightInd w:val="0"/>
              <w:snapToGrid w:val="0"/>
              <w:jc w:val="center"/>
              <w:rPr>
                <w:rFonts w:ascii="宋体" w:hAnsi="宋体"/>
                <w:sz w:val="24"/>
                <w:highlight w:val="none"/>
              </w:rPr>
            </w:pPr>
            <w:r>
              <w:rPr>
                <w:rFonts w:ascii="宋体" w:hAnsi="宋体"/>
                <w:sz w:val="24"/>
                <w:highlight w:val="none"/>
              </w:rPr>
              <w:t>项目</w:t>
            </w:r>
          </w:p>
        </w:tc>
        <w:tc>
          <w:tcPr>
            <w:tcW w:w="3238" w:type="dxa"/>
            <w:vAlign w:val="center"/>
          </w:tcPr>
          <w:p w14:paraId="13FB129B">
            <w:pPr>
              <w:keepNext w:val="0"/>
              <w:keepLines w:val="0"/>
              <w:pageBreakBefore w:val="0"/>
              <w:widowControl w:val="0"/>
              <w:kinsoku/>
              <w:overflowPunct/>
              <w:bidi w:val="0"/>
              <w:adjustRightInd w:val="0"/>
              <w:snapToGrid w:val="0"/>
              <w:jc w:val="center"/>
              <w:rPr>
                <w:rFonts w:ascii="宋体" w:hAnsi="宋体"/>
                <w:sz w:val="24"/>
                <w:highlight w:val="none"/>
              </w:rPr>
            </w:pPr>
            <w:r>
              <w:rPr>
                <w:rFonts w:hint="eastAsia" w:ascii="宋体" w:hAnsi="宋体"/>
                <w:sz w:val="24"/>
                <w:highlight w:val="none"/>
              </w:rPr>
              <w:t>招标文件</w:t>
            </w:r>
            <w:r>
              <w:rPr>
                <w:rFonts w:ascii="宋体" w:hAnsi="宋体"/>
                <w:sz w:val="24"/>
                <w:highlight w:val="none"/>
              </w:rPr>
              <w:t>商务要求</w:t>
            </w:r>
          </w:p>
        </w:tc>
        <w:tc>
          <w:tcPr>
            <w:tcW w:w="3145" w:type="dxa"/>
            <w:vAlign w:val="center"/>
          </w:tcPr>
          <w:p w14:paraId="7E7ADCE6">
            <w:pPr>
              <w:keepNext w:val="0"/>
              <w:keepLines w:val="0"/>
              <w:pageBreakBefore w:val="0"/>
              <w:widowControl w:val="0"/>
              <w:kinsoku/>
              <w:overflowPunct/>
              <w:bidi w:val="0"/>
              <w:adjustRightInd w:val="0"/>
              <w:snapToGrid w:val="0"/>
              <w:jc w:val="center"/>
              <w:rPr>
                <w:rFonts w:ascii="宋体" w:hAnsi="宋体"/>
                <w:sz w:val="24"/>
                <w:highlight w:val="none"/>
              </w:rPr>
            </w:pPr>
            <w:r>
              <w:rPr>
                <w:rFonts w:hint="eastAsia" w:ascii="宋体" w:hAnsi="宋体"/>
                <w:sz w:val="24"/>
                <w:highlight w:val="none"/>
              </w:rPr>
              <w:t>投标文件</w:t>
            </w:r>
            <w:r>
              <w:rPr>
                <w:rFonts w:ascii="宋体" w:hAnsi="宋体"/>
                <w:sz w:val="24"/>
                <w:highlight w:val="none"/>
              </w:rPr>
              <w:t>的对应响应</w:t>
            </w:r>
          </w:p>
        </w:tc>
        <w:tc>
          <w:tcPr>
            <w:tcW w:w="1026" w:type="dxa"/>
            <w:vAlign w:val="center"/>
          </w:tcPr>
          <w:p w14:paraId="77DD3E30">
            <w:pPr>
              <w:keepNext w:val="0"/>
              <w:keepLines w:val="0"/>
              <w:pageBreakBefore w:val="0"/>
              <w:widowControl w:val="0"/>
              <w:kinsoku/>
              <w:overflowPunct/>
              <w:bidi w:val="0"/>
              <w:adjustRightInd w:val="0"/>
              <w:snapToGrid w:val="0"/>
              <w:jc w:val="center"/>
              <w:rPr>
                <w:rFonts w:ascii="宋体" w:hAnsi="宋体"/>
                <w:sz w:val="24"/>
                <w:highlight w:val="none"/>
              </w:rPr>
            </w:pPr>
            <w:r>
              <w:rPr>
                <w:rFonts w:ascii="宋体" w:hAnsi="宋体"/>
                <w:sz w:val="24"/>
                <w:highlight w:val="none"/>
              </w:rPr>
              <w:t>说  明</w:t>
            </w:r>
          </w:p>
        </w:tc>
      </w:tr>
      <w:tr w14:paraId="4686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center"/>
          </w:tcPr>
          <w:p w14:paraId="4249263E">
            <w:pPr>
              <w:keepNext w:val="0"/>
              <w:keepLines w:val="0"/>
              <w:pageBreakBefore w:val="0"/>
              <w:widowControl w:val="0"/>
              <w:kinsoku/>
              <w:overflowPunct/>
              <w:bidi w:val="0"/>
              <w:adjustRightInd w:val="0"/>
              <w:snapToGrid w:val="0"/>
              <w:jc w:val="center"/>
              <w:rPr>
                <w:rFonts w:ascii="宋体" w:hAnsi="宋体"/>
                <w:bCs/>
                <w:kern w:val="0"/>
                <w:sz w:val="24"/>
                <w:highlight w:val="none"/>
              </w:rPr>
            </w:pPr>
            <w:r>
              <w:rPr>
                <w:rFonts w:ascii="宋体" w:hAnsi="宋体"/>
                <w:bCs/>
                <w:kern w:val="0"/>
                <w:sz w:val="24"/>
                <w:highlight w:val="none"/>
              </w:rPr>
              <w:t>1</w:t>
            </w:r>
          </w:p>
        </w:tc>
        <w:tc>
          <w:tcPr>
            <w:tcW w:w="1230" w:type="dxa"/>
            <w:vAlign w:val="center"/>
          </w:tcPr>
          <w:p w14:paraId="71873F59">
            <w:pPr>
              <w:keepNext w:val="0"/>
              <w:keepLines w:val="0"/>
              <w:pageBreakBefore w:val="0"/>
              <w:widowControl w:val="0"/>
              <w:kinsoku/>
              <w:overflowPunct/>
              <w:bidi w:val="0"/>
              <w:adjustRightInd w:val="0"/>
              <w:snapToGrid w:val="0"/>
              <w:jc w:val="center"/>
              <w:rPr>
                <w:rFonts w:ascii="宋体" w:hAnsi="宋体"/>
                <w:bCs/>
                <w:kern w:val="0"/>
                <w:sz w:val="24"/>
                <w:highlight w:val="none"/>
              </w:rPr>
            </w:pPr>
            <w:r>
              <w:rPr>
                <w:rFonts w:hint="eastAsia" w:ascii="宋体" w:hAnsi="宋体" w:eastAsia="宋体" w:cs="宋体"/>
                <w:color w:val="auto"/>
                <w:kern w:val="2"/>
                <w:sz w:val="24"/>
                <w:szCs w:val="24"/>
                <w:highlight w:val="none"/>
                <w:lang w:val="en-US" w:eastAsia="zh-CN" w:bidi="ar-SA"/>
              </w:rPr>
              <w:t>执行标准</w:t>
            </w:r>
          </w:p>
        </w:tc>
        <w:tc>
          <w:tcPr>
            <w:tcW w:w="3238" w:type="dxa"/>
            <w:vAlign w:val="center"/>
          </w:tcPr>
          <w:p w14:paraId="0330E45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ascii="宋体" w:hAnsi="宋体"/>
                <w:bCs/>
                <w:kern w:val="0"/>
                <w:sz w:val="24"/>
                <w:highlight w:val="none"/>
              </w:rPr>
            </w:pPr>
            <w:r>
              <w:rPr>
                <w:rFonts w:hint="eastAsia" w:ascii="宋体" w:hAnsi="宋体" w:eastAsia="宋体" w:cs="宋体"/>
                <w:color w:val="auto"/>
                <w:kern w:val="2"/>
                <w:sz w:val="24"/>
                <w:szCs w:val="24"/>
                <w:highlight w:val="none"/>
                <w:lang w:val="en-US" w:eastAsia="zh-CN" w:bidi="ar-SA"/>
              </w:rPr>
              <w:t>符合国家、行业、地方政府有关法律法规及技术规范要求。</w:t>
            </w:r>
          </w:p>
        </w:tc>
        <w:tc>
          <w:tcPr>
            <w:tcW w:w="3145" w:type="dxa"/>
            <w:vAlign w:val="center"/>
          </w:tcPr>
          <w:p w14:paraId="5F71A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bCs/>
                <w:kern w:val="0"/>
                <w:sz w:val="24"/>
                <w:highlight w:val="none"/>
              </w:rPr>
            </w:pPr>
          </w:p>
        </w:tc>
        <w:tc>
          <w:tcPr>
            <w:tcW w:w="1026" w:type="dxa"/>
            <w:vAlign w:val="center"/>
          </w:tcPr>
          <w:p w14:paraId="01BD958B">
            <w:pPr>
              <w:keepNext w:val="0"/>
              <w:keepLines w:val="0"/>
              <w:pageBreakBefore w:val="0"/>
              <w:widowControl w:val="0"/>
              <w:kinsoku/>
              <w:overflowPunct/>
              <w:bidi w:val="0"/>
              <w:adjustRightInd w:val="0"/>
              <w:snapToGrid w:val="0"/>
              <w:jc w:val="center"/>
              <w:rPr>
                <w:rFonts w:ascii="宋体" w:hAnsi="宋体"/>
                <w:bCs/>
                <w:kern w:val="0"/>
                <w:sz w:val="24"/>
                <w:highlight w:val="none"/>
              </w:rPr>
            </w:pPr>
          </w:p>
        </w:tc>
      </w:tr>
      <w:tr w14:paraId="4680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7" w:type="dxa"/>
            <w:vAlign w:val="center"/>
          </w:tcPr>
          <w:p w14:paraId="143C8772">
            <w:pPr>
              <w:keepNext w:val="0"/>
              <w:keepLines w:val="0"/>
              <w:pageBreakBefore w:val="0"/>
              <w:widowControl w:val="0"/>
              <w:kinsoku/>
              <w:overflowPunct/>
              <w:bidi w:val="0"/>
              <w:adjustRightInd w:val="0"/>
              <w:snapToGrid w:val="0"/>
              <w:jc w:val="center"/>
              <w:rPr>
                <w:rFonts w:ascii="宋体" w:hAnsi="宋体"/>
                <w:sz w:val="24"/>
                <w:highlight w:val="none"/>
              </w:rPr>
            </w:pPr>
            <w:r>
              <w:rPr>
                <w:rFonts w:ascii="宋体" w:hAnsi="宋体"/>
                <w:sz w:val="24"/>
                <w:highlight w:val="none"/>
              </w:rPr>
              <w:t>2</w:t>
            </w:r>
          </w:p>
        </w:tc>
        <w:tc>
          <w:tcPr>
            <w:tcW w:w="1230" w:type="dxa"/>
            <w:vAlign w:val="center"/>
          </w:tcPr>
          <w:p w14:paraId="5665DB81">
            <w:pPr>
              <w:keepNext w:val="0"/>
              <w:keepLines w:val="0"/>
              <w:pageBreakBefore w:val="0"/>
              <w:widowControl w:val="0"/>
              <w:kinsoku/>
              <w:overflowPunct/>
              <w:bidi w:val="0"/>
              <w:adjustRightInd w:val="0"/>
              <w:snapToGrid w:val="0"/>
              <w:jc w:val="center"/>
              <w:rPr>
                <w:rFonts w:ascii="宋体" w:hAnsi="宋体"/>
                <w:sz w:val="24"/>
                <w:highlight w:val="none"/>
              </w:rPr>
            </w:pPr>
            <w:r>
              <w:rPr>
                <w:rFonts w:hint="eastAsia" w:ascii="宋体" w:hAnsi="宋体" w:eastAsia="宋体" w:cs="宋体"/>
                <w:color w:val="auto"/>
                <w:kern w:val="2"/>
                <w:sz w:val="24"/>
                <w:szCs w:val="24"/>
                <w:highlight w:val="none"/>
                <w:lang w:val="en-US" w:eastAsia="zh-CN" w:bidi="ar-SA"/>
              </w:rPr>
              <w:t>合同履约期限</w:t>
            </w:r>
          </w:p>
        </w:tc>
        <w:tc>
          <w:tcPr>
            <w:tcW w:w="3238" w:type="dxa"/>
            <w:vAlign w:val="center"/>
          </w:tcPr>
          <w:p w14:paraId="0828FA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highlight w:val="none"/>
              </w:rPr>
            </w:pPr>
            <w:r>
              <w:rPr>
                <w:rFonts w:hint="eastAsia" w:ascii="宋体" w:hAnsi="宋体" w:eastAsia="宋体" w:cs="宋体"/>
                <w:color w:val="auto"/>
                <w:kern w:val="2"/>
                <w:sz w:val="24"/>
                <w:szCs w:val="24"/>
                <w:highlight w:val="none"/>
                <w:lang w:val="en-US" w:eastAsia="zh-CN" w:bidi="ar-SA"/>
              </w:rPr>
              <w:t>一年，以双方签订的合同约定时间为准。</w:t>
            </w:r>
          </w:p>
        </w:tc>
        <w:tc>
          <w:tcPr>
            <w:tcW w:w="3145" w:type="dxa"/>
            <w:vAlign w:val="center"/>
          </w:tcPr>
          <w:p w14:paraId="205A8B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highlight w:val="none"/>
              </w:rPr>
            </w:pPr>
          </w:p>
        </w:tc>
        <w:tc>
          <w:tcPr>
            <w:tcW w:w="1026" w:type="dxa"/>
            <w:vAlign w:val="center"/>
          </w:tcPr>
          <w:p w14:paraId="33804274">
            <w:pPr>
              <w:keepNext w:val="0"/>
              <w:keepLines w:val="0"/>
              <w:pageBreakBefore w:val="0"/>
              <w:widowControl w:val="0"/>
              <w:kinsoku/>
              <w:overflowPunct/>
              <w:bidi w:val="0"/>
              <w:adjustRightInd w:val="0"/>
              <w:snapToGrid w:val="0"/>
              <w:jc w:val="center"/>
              <w:rPr>
                <w:rFonts w:ascii="宋体" w:hAnsi="宋体"/>
                <w:sz w:val="24"/>
                <w:highlight w:val="none"/>
              </w:rPr>
            </w:pPr>
          </w:p>
        </w:tc>
      </w:tr>
      <w:tr w14:paraId="10FE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center"/>
          </w:tcPr>
          <w:p w14:paraId="2C142746">
            <w:pPr>
              <w:keepNext w:val="0"/>
              <w:keepLines w:val="0"/>
              <w:pageBreakBefore w:val="0"/>
              <w:widowControl w:val="0"/>
              <w:kinsoku/>
              <w:overflowPunct/>
              <w:bidi w:val="0"/>
              <w:adjustRightInd w:val="0"/>
              <w:snapToGrid w:val="0"/>
              <w:jc w:val="center"/>
              <w:rPr>
                <w:rFonts w:ascii="宋体" w:hAnsi="宋体"/>
                <w:sz w:val="24"/>
                <w:highlight w:val="none"/>
              </w:rPr>
            </w:pPr>
            <w:r>
              <w:rPr>
                <w:rFonts w:ascii="宋体" w:hAnsi="宋体"/>
                <w:sz w:val="24"/>
                <w:highlight w:val="none"/>
              </w:rPr>
              <w:t>3</w:t>
            </w:r>
          </w:p>
        </w:tc>
        <w:tc>
          <w:tcPr>
            <w:tcW w:w="1230" w:type="dxa"/>
            <w:vAlign w:val="center"/>
          </w:tcPr>
          <w:p w14:paraId="7523A19F">
            <w:pPr>
              <w:keepNext w:val="0"/>
              <w:keepLines w:val="0"/>
              <w:pageBreakBefore w:val="0"/>
              <w:widowControl w:val="0"/>
              <w:kinsoku/>
              <w:overflowPunct/>
              <w:bidi w:val="0"/>
              <w:adjustRightInd w:val="0"/>
              <w:snapToGrid w:val="0"/>
              <w:jc w:val="center"/>
              <w:rPr>
                <w:rFonts w:ascii="宋体" w:hAnsi="宋体"/>
                <w:sz w:val="24"/>
                <w:highlight w:val="none"/>
              </w:rPr>
            </w:pPr>
            <w:r>
              <w:rPr>
                <w:rFonts w:hint="eastAsia" w:ascii="宋体" w:hAnsi="宋体" w:eastAsia="宋体" w:cs="宋体"/>
                <w:color w:val="auto"/>
                <w:kern w:val="2"/>
                <w:sz w:val="24"/>
                <w:szCs w:val="24"/>
                <w:highlight w:val="none"/>
                <w:lang w:val="en-US" w:eastAsia="zh-CN" w:bidi="ar-SA"/>
              </w:rPr>
              <w:t>服务地点</w:t>
            </w:r>
          </w:p>
        </w:tc>
        <w:tc>
          <w:tcPr>
            <w:tcW w:w="3238" w:type="dxa"/>
            <w:vAlign w:val="center"/>
          </w:tcPr>
          <w:p w14:paraId="2A036F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highlight w:val="none"/>
              </w:rPr>
            </w:pPr>
            <w:r>
              <w:rPr>
                <w:rFonts w:hint="eastAsia" w:ascii="宋体" w:hAnsi="宋体" w:eastAsia="宋体" w:cs="宋体"/>
                <w:color w:val="auto"/>
                <w:kern w:val="2"/>
                <w:sz w:val="24"/>
                <w:szCs w:val="24"/>
                <w:highlight w:val="none"/>
                <w:lang w:val="en-US" w:eastAsia="zh-CN" w:bidi="ar-SA"/>
              </w:rPr>
              <w:t>太原市医疗保障局指定地点。</w:t>
            </w:r>
          </w:p>
        </w:tc>
        <w:tc>
          <w:tcPr>
            <w:tcW w:w="3145" w:type="dxa"/>
            <w:vAlign w:val="center"/>
          </w:tcPr>
          <w:p w14:paraId="3CD95E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highlight w:val="none"/>
              </w:rPr>
            </w:pPr>
          </w:p>
        </w:tc>
        <w:tc>
          <w:tcPr>
            <w:tcW w:w="1026" w:type="dxa"/>
            <w:vAlign w:val="center"/>
          </w:tcPr>
          <w:p w14:paraId="02B4B1B4">
            <w:pPr>
              <w:keepNext w:val="0"/>
              <w:keepLines w:val="0"/>
              <w:pageBreakBefore w:val="0"/>
              <w:widowControl w:val="0"/>
              <w:kinsoku/>
              <w:overflowPunct/>
              <w:bidi w:val="0"/>
              <w:adjustRightInd w:val="0"/>
              <w:snapToGrid w:val="0"/>
              <w:jc w:val="center"/>
              <w:rPr>
                <w:rFonts w:ascii="宋体" w:hAnsi="宋体"/>
                <w:sz w:val="24"/>
                <w:highlight w:val="none"/>
              </w:rPr>
            </w:pPr>
          </w:p>
        </w:tc>
      </w:tr>
      <w:tr w14:paraId="56D5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center"/>
          </w:tcPr>
          <w:p w14:paraId="5E75B06C">
            <w:pPr>
              <w:keepNext w:val="0"/>
              <w:keepLines w:val="0"/>
              <w:pageBreakBefore w:val="0"/>
              <w:widowControl w:val="0"/>
              <w:kinsoku/>
              <w:overflowPunct/>
              <w:bidi w:val="0"/>
              <w:adjustRightInd w:val="0"/>
              <w:snapToGrid w:val="0"/>
              <w:jc w:val="center"/>
              <w:rPr>
                <w:rFonts w:ascii="宋体" w:hAnsi="宋体"/>
                <w:sz w:val="24"/>
                <w:highlight w:val="none"/>
              </w:rPr>
            </w:pPr>
            <w:r>
              <w:rPr>
                <w:rFonts w:ascii="宋体" w:hAnsi="宋体"/>
                <w:sz w:val="24"/>
                <w:highlight w:val="none"/>
              </w:rPr>
              <w:t>4</w:t>
            </w:r>
          </w:p>
        </w:tc>
        <w:tc>
          <w:tcPr>
            <w:tcW w:w="1230" w:type="dxa"/>
            <w:vAlign w:val="center"/>
          </w:tcPr>
          <w:p w14:paraId="53EA6901">
            <w:pPr>
              <w:keepNext w:val="0"/>
              <w:keepLines w:val="0"/>
              <w:pageBreakBefore w:val="0"/>
              <w:widowControl w:val="0"/>
              <w:kinsoku/>
              <w:overflowPunct/>
              <w:bidi w:val="0"/>
              <w:adjustRightInd w:val="0"/>
              <w:snapToGrid w:val="0"/>
              <w:jc w:val="center"/>
              <w:rPr>
                <w:rFonts w:ascii="宋体" w:hAnsi="宋体"/>
                <w:sz w:val="24"/>
                <w:highlight w:val="none"/>
              </w:rPr>
            </w:pPr>
            <w:r>
              <w:rPr>
                <w:rFonts w:hint="eastAsia" w:ascii="宋体" w:hAnsi="宋体" w:eastAsia="宋体" w:cs="宋体"/>
                <w:color w:val="auto"/>
                <w:kern w:val="2"/>
                <w:sz w:val="24"/>
                <w:szCs w:val="24"/>
                <w:highlight w:val="none"/>
                <w:lang w:val="en-US" w:eastAsia="zh-CN" w:bidi="ar-SA"/>
              </w:rPr>
              <w:t>款项支付</w:t>
            </w:r>
          </w:p>
        </w:tc>
        <w:tc>
          <w:tcPr>
            <w:tcW w:w="3238" w:type="dxa"/>
            <w:vAlign w:val="center"/>
          </w:tcPr>
          <w:p w14:paraId="188FE1ED">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（1）首次付款</w:t>
            </w:r>
          </w:p>
          <w:p w14:paraId="2D7AFF09">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合同签订后，DRG付费系统正常运行，并完成月度结算工作，经采购人验收后，采购人支付供应商合同总额的40%款项；否则，在扣除相应违约金后，支付剩余款项。</w:t>
            </w:r>
          </w:p>
          <w:p w14:paraId="19EDB70C">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（2）二次付款</w:t>
            </w:r>
          </w:p>
          <w:p w14:paraId="309B6FD3">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供应商按合同要求提供持续服务，出具半年度项目运行报告，经采购人确认合格后（无重大问题发生），支付合同总额的40%款项；否则，在扣除相应违约金后，支付剩余款项。</w:t>
            </w:r>
          </w:p>
          <w:p w14:paraId="04AFF1C3">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（3）末次付款</w:t>
            </w:r>
          </w:p>
          <w:p w14:paraId="69A0DA2E">
            <w:pPr>
              <w:pStyle w:val="5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供应商按合同要求提供持续服务，出具年度项目运行报告，经采购人验收合格后，支付合同剩余的20%款项；否则，在扣除相应违约金后，支付剩余款项。</w:t>
            </w:r>
          </w:p>
          <w:p w14:paraId="07F5A18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ascii="宋体" w:hAnsi="宋体"/>
                <w:sz w:val="24"/>
                <w:highlight w:val="none"/>
              </w:rPr>
            </w:pPr>
            <w:r>
              <w:rPr>
                <w:rFonts w:hint="eastAsia" w:ascii="宋体" w:hAnsi="宋体" w:eastAsia="宋体" w:cs="宋体"/>
                <w:color w:val="auto"/>
                <w:kern w:val="2"/>
                <w:sz w:val="24"/>
                <w:szCs w:val="24"/>
                <w:highlight w:val="none"/>
                <w:lang w:val="en-US" w:eastAsia="zh-CN" w:bidi="ar-SA"/>
              </w:rPr>
              <w:t>以上各环节，供应商同步开具相应金额专用发票后十个工作日内，经采购人确认方可予以支付。</w:t>
            </w:r>
          </w:p>
        </w:tc>
        <w:tc>
          <w:tcPr>
            <w:tcW w:w="3145" w:type="dxa"/>
            <w:vAlign w:val="center"/>
          </w:tcPr>
          <w:p w14:paraId="78E801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highlight w:val="none"/>
              </w:rPr>
            </w:pPr>
          </w:p>
        </w:tc>
        <w:tc>
          <w:tcPr>
            <w:tcW w:w="1026" w:type="dxa"/>
            <w:vAlign w:val="center"/>
          </w:tcPr>
          <w:p w14:paraId="374CC9FB">
            <w:pPr>
              <w:keepNext w:val="0"/>
              <w:keepLines w:val="0"/>
              <w:pageBreakBefore w:val="0"/>
              <w:widowControl w:val="0"/>
              <w:kinsoku/>
              <w:overflowPunct/>
              <w:bidi w:val="0"/>
              <w:adjustRightInd w:val="0"/>
              <w:snapToGrid w:val="0"/>
              <w:jc w:val="center"/>
              <w:rPr>
                <w:rFonts w:ascii="宋体" w:hAnsi="宋体"/>
                <w:sz w:val="24"/>
                <w:highlight w:val="none"/>
              </w:rPr>
            </w:pPr>
          </w:p>
        </w:tc>
      </w:tr>
      <w:tr w14:paraId="4595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center"/>
          </w:tcPr>
          <w:p w14:paraId="17991287">
            <w:pPr>
              <w:keepNext w:val="0"/>
              <w:keepLines w:val="0"/>
              <w:pageBreakBefore w:val="0"/>
              <w:widowControl w:val="0"/>
              <w:kinsoku/>
              <w:overflowPunct/>
              <w:bidi w:val="0"/>
              <w:adjustRightInd w:val="0"/>
              <w:snapToGrid w:val="0"/>
              <w:jc w:val="center"/>
              <w:rPr>
                <w:rFonts w:ascii="宋体" w:hAnsi="宋体"/>
                <w:sz w:val="24"/>
                <w:highlight w:val="none"/>
              </w:rPr>
            </w:pPr>
            <w:r>
              <w:rPr>
                <w:rFonts w:ascii="宋体" w:hAnsi="宋体"/>
                <w:sz w:val="24"/>
                <w:highlight w:val="none"/>
              </w:rPr>
              <w:t>5</w:t>
            </w:r>
          </w:p>
        </w:tc>
        <w:tc>
          <w:tcPr>
            <w:tcW w:w="1230" w:type="dxa"/>
            <w:vAlign w:val="center"/>
          </w:tcPr>
          <w:p w14:paraId="0E1166B0">
            <w:pPr>
              <w:keepNext w:val="0"/>
              <w:keepLines w:val="0"/>
              <w:pageBreakBefore w:val="0"/>
              <w:widowControl w:val="0"/>
              <w:kinsoku/>
              <w:overflowPunct/>
              <w:bidi w:val="0"/>
              <w:adjustRightInd w:val="0"/>
              <w:snapToGrid w:val="0"/>
              <w:jc w:val="center"/>
              <w:rPr>
                <w:rFonts w:ascii="宋体" w:hAnsi="宋体"/>
                <w:sz w:val="24"/>
                <w:highlight w:val="none"/>
              </w:rPr>
            </w:pPr>
            <w:r>
              <w:rPr>
                <w:rFonts w:hint="eastAsia" w:ascii="宋体" w:hAnsi="宋体" w:eastAsia="宋体" w:cs="宋体"/>
                <w:color w:val="auto"/>
                <w:kern w:val="2"/>
                <w:sz w:val="24"/>
                <w:szCs w:val="24"/>
                <w:highlight w:val="none"/>
                <w:lang w:val="en-US" w:eastAsia="zh-CN" w:bidi="ar-SA"/>
              </w:rPr>
              <w:t>履约保证金</w:t>
            </w:r>
          </w:p>
        </w:tc>
        <w:tc>
          <w:tcPr>
            <w:tcW w:w="3238" w:type="dxa"/>
            <w:vAlign w:val="center"/>
          </w:tcPr>
          <w:p w14:paraId="1E95149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ascii="宋体" w:hAnsi="宋体"/>
                <w:sz w:val="24"/>
                <w:highlight w:val="none"/>
              </w:rPr>
            </w:pPr>
            <w:r>
              <w:rPr>
                <w:rFonts w:hint="eastAsia" w:ascii="宋体" w:hAnsi="宋体" w:eastAsia="宋体" w:cs="宋体"/>
                <w:color w:val="auto"/>
                <w:kern w:val="2"/>
                <w:sz w:val="24"/>
                <w:szCs w:val="24"/>
                <w:highlight w:val="none"/>
                <w:lang w:val="en-US" w:eastAsia="zh-CN" w:bidi="ar-SA"/>
              </w:rPr>
              <w:t>本项目不收取履约保证金。</w:t>
            </w:r>
          </w:p>
        </w:tc>
        <w:tc>
          <w:tcPr>
            <w:tcW w:w="3145" w:type="dxa"/>
            <w:vAlign w:val="center"/>
          </w:tcPr>
          <w:p w14:paraId="693025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highlight w:val="none"/>
              </w:rPr>
            </w:pPr>
          </w:p>
        </w:tc>
        <w:tc>
          <w:tcPr>
            <w:tcW w:w="1026" w:type="dxa"/>
            <w:vAlign w:val="center"/>
          </w:tcPr>
          <w:p w14:paraId="4286B9F4">
            <w:pPr>
              <w:keepNext w:val="0"/>
              <w:keepLines w:val="0"/>
              <w:pageBreakBefore w:val="0"/>
              <w:widowControl w:val="0"/>
              <w:kinsoku/>
              <w:overflowPunct/>
              <w:bidi w:val="0"/>
              <w:adjustRightInd w:val="0"/>
              <w:snapToGrid w:val="0"/>
              <w:jc w:val="center"/>
              <w:rPr>
                <w:rFonts w:ascii="宋体" w:hAnsi="宋体"/>
                <w:sz w:val="24"/>
                <w:highlight w:val="none"/>
              </w:rPr>
            </w:pPr>
          </w:p>
        </w:tc>
      </w:tr>
      <w:tr w14:paraId="35CD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center"/>
          </w:tcPr>
          <w:p w14:paraId="19EF2DE1">
            <w:pPr>
              <w:keepNext w:val="0"/>
              <w:keepLines w:val="0"/>
              <w:pageBreakBefore w:val="0"/>
              <w:widowControl w:val="0"/>
              <w:kinsoku/>
              <w:overflowPunct/>
              <w:bidi w:val="0"/>
              <w:adjustRightInd w:val="0"/>
              <w:snapToGrid w:val="0"/>
              <w:jc w:val="center"/>
              <w:rPr>
                <w:rFonts w:hint="default" w:ascii="宋体" w:hAnsi="宋体" w:eastAsia="宋体"/>
                <w:sz w:val="24"/>
                <w:highlight w:val="none"/>
                <w:lang w:val="en-US" w:eastAsia="zh-CN"/>
              </w:rPr>
            </w:pPr>
            <w:r>
              <w:rPr>
                <w:rFonts w:hint="eastAsia" w:ascii="宋体" w:hAnsi="宋体"/>
                <w:sz w:val="24"/>
                <w:highlight w:val="none"/>
                <w:lang w:val="en-US" w:eastAsia="zh-CN"/>
              </w:rPr>
              <w:t>6</w:t>
            </w:r>
          </w:p>
        </w:tc>
        <w:tc>
          <w:tcPr>
            <w:tcW w:w="1230" w:type="dxa"/>
            <w:vAlign w:val="center"/>
          </w:tcPr>
          <w:p w14:paraId="5A08027D">
            <w:pPr>
              <w:keepNext w:val="0"/>
              <w:keepLines w:val="0"/>
              <w:pageBreakBefore w:val="0"/>
              <w:widowControl w:val="0"/>
              <w:kinsoku/>
              <w:overflowPunct/>
              <w:bidi w:val="0"/>
              <w:adjustRightInd w:val="0"/>
              <w:snapToGrid w:val="0"/>
              <w:jc w:val="center"/>
              <w:rPr>
                <w:rFonts w:ascii="宋体" w:hAnsi="宋体"/>
                <w:sz w:val="24"/>
                <w:highlight w:val="none"/>
              </w:rPr>
            </w:pPr>
            <w:r>
              <w:rPr>
                <w:rFonts w:hint="eastAsia" w:ascii="宋体" w:hAnsi="宋体" w:eastAsia="宋体" w:cs="宋体"/>
                <w:color w:val="auto"/>
                <w:kern w:val="2"/>
                <w:sz w:val="24"/>
                <w:szCs w:val="24"/>
                <w:highlight w:val="none"/>
                <w:lang w:val="en-US" w:eastAsia="zh-CN" w:bidi="ar-SA"/>
              </w:rPr>
              <w:t>验收标准</w:t>
            </w:r>
          </w:p>
        </w:tc>
        <w:tc>
          <w:tcPr>
            <w:tcW w:w="3238" w:type="dxa"/>
            <w:vAlign w:val="center"/>
          </w:tcPr>
          <w:p w14:paraId="6BA7478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ascii="宋体" w:hAnsi="宋体"/>
                <w:sz w:val="24"/>
                <w:highlight w:val="none"/>
              </w:rPr>
            </w:pPr>
            <w:r>
              <w:rPr>
                <w:rFonts w:hint="eastAsia" w:ascii="宋体" w:hAnsi="宋体" w:eastAsia="宋体" w:cs="宋体"/>
                <w:color w:val="auto"/>
                <w:kern w:val="2"/>
                <w:sz w:val="24"/>
                <w:szCs w:val="24"/>
                <w:highlight w:val="none"/>
                <w:lang w:val="en-US" w:eastAsia="zh-CN" w:bidi="ar-SA"/>
              </w:rPr>
              <w:t>采购人自行组织或委托第三方机构邀请相关行业技术专家按照本项目招标文件、响应文件、合同文本进行验收。验收结束后，填写“合同履约情况验收报告”，并由验收双方共同签署。</w:t>
            </w:r>
          </w:p>
        </w:tc>
        <w:tc>
          <w:tcPr>
            <w:tcW w:w="3145" w:type="dxa"/>
            <w:vAlign w:val="center"/>
          </w:tcPr>
          <w:p w14:paraId="7668B2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highlight w:val="none"/>
              </w:rPr>
            </w:pPr>
          </w:p>
        </w:tc>
        <w:tc>
          <w:tcPr>
            <w:tcW w:w="1026" w:type="dxa"/>
            <w:vAlign w:val="center"/>
          </w:tcPr>
          <w:p w14:paraId="76ADB55A">
            <w:pPr>
              <w:keepNext w:val="0"/>
              <w:keepLines w:val="0"/>
              <w:pageBreakBefore w:val="0"/>
              <w:widowControl w:val="0"/>
              <w:kinsoku/>
              <w:overflowPunct/>
              <w:bidi w:val="0"/>
              <w:adjustRightInd w:val="0"/>
              <w:snapToGrid w:val="0"/>
              <w:jc w:val="center"/>
              <w:rPr>
                <w:rFonts w:ascii="宋体" w:hAnsi="宋体"/>
                <w:sz w:val="24"/>
                <w:highlight w:val="none"/>
              </w:rPr>
            </w:pPr>
          </w:p>
        </w:tc>
      </w:tr>
      <w:tr w14:paraId="459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center"/>
          </w:tcPr>
          <w:p w14:paraId="3EA66750">
            <w:pPr>
              <w:keepNext w:val="0"/>
              <w:keepLines w:val="0"/>
              <w:pageBreakBefore w:val="0"/>
              <w:widowControl w:val="0"/>
              <w:kinsoku/>
              <w:overflowPunct/>
              <w:bidi w:val="0"/>
              <w:adjustRightInd w:val="0"/>
              <w:snapToGrid w:val="0"/>
              <w:jc w:val="center"/>
              <w:rPr>
                <w:rFonts w:hint="default" w:ascii="宋体" w:hAnsi="宋体"/>
                <w:sz w:val="24"/>
                <w:highlight w:val="none"/>
                <w:lang w:val="en-US" w:eastAsia="zh-CN"/>
              </w:rPr>
            </w:pPr>
            <w:r>
              <w:rPr>
                <w:rFonts w:hint="eastAsia" w:ascii="宋体" w:hAnsi="宋体"/>
                <w:sz w:val="24"/>
                <w:highlight w:val="none"/>
                <w:lang w:val="en-US" w:eastAsia="zh-CN"/>
              </w:rPr>
              <w:t>7</w:t>
            </w:r>
          </w:p>
        </w:tc>
        <w:tc>
          <w:tcPr>
            <w:tcW w:w="1230" w:type="dxa"/>
            <w:vAlign w:val="center"/>
          </w:tcPr>
          <w:p w14:paraId="37B5C225">
            <w:pPr>
              <w:keepNext w:val="0"/>
              <w:keepLines w:val="0"/>
              <w:pageBreakBefore w:val="0"/>
              <w:widowControl w:val="0"/>
              <w:kinsoku/>
              <w:overflowPunct/>
              <w:bidi w:val="0"/>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其他要求</w:t>
            </w:r>
          </w:p>
        </w:tc>
        <w:tc>
          <w:tcPr>
            <w:tcW w:w="3238" w:type="dxa"/>
            <w:vAlign w:val="center"/>
          </w:tcPr>
          <w:p w14:paraId="26428B2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rPr>
                <w:rFonts w:ascii="宋体" w:hAnsi="宋体"/>
                <w:sz w:val="24"/>
                <w:highlight w:val="none"/>
              </w:rPr>
            </w:pPr>
            <w:r>
              <w:rPr>
                <w:rFonts w:hint="eastAsia" w:ascii="宋体" w:hAnsi="宋体" w:eastAsia="宋体" w:cs="宋体"/>
                <w:color w:val="auto"/>
                <w:kern w:val="2"/>
                <w:sz w:val="24"/>
                <w:szCs w:val="24"/>
                <w:highlight w:val="none"/>
                <w:lang w:val="en-US" w:eastAsia="zh-CN" w:bidi="ar-SA"/>
              </w:rPr>
              <w:t>如因国家政策调整等不可抗力因素造成项目终止，在采购人与供应商双方协商一致的基础上可无责解除合同。</w:t>
            </w:r>
          </w:p>
        </w:tc>
        <w:tc>
          <w:tcPr>
            <w:tcW w:w="3145" w:type="dxa"/>
            <w:vAlign w:val="center"/>
          </w:tcPr>
          <w:p w14:paraId="7EC2E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highlight w:val="none"/>
              </w:rPr>
            </w:pPr>
          </w:p>
        </w:tc>
        <w:tc>
          <w:tcPr>
            <w:tcW w:w="1026" w:type="dxa"/>
            <w:vAlign w:val="center"/>
          </w:tcPr>
          <w:p w14:paraId="78A50ACF">
            <w:pPr>
              <w:keepNext w:val="0"/>
              <w:keepLines w:val="0"/>
              <w:pageBreakBefore w:val="0"/>
              <w:widowControl w:val="0"/>
              <w:kinsoku/>
              <w:overflowPunct/>
              <w:bidi w:val="0"/>
              <w:adjustRightInd w:val="0"/>
              <w:snapToGrid w:val="0"/>
              <w:jc w:val="center"/>
              <w:rPr>
                <w:rFonts w:ascii="宋体" w:hAnsi="宋体"/>
                <w:sz w:val="24"/>
                <w:highlight w:val="none"/>
              </w:rPr>
            </w:pPr>
          </w:p>
        </w:tc>
      </w:tr>
    </w:tbl>
    <w:p w14:paraId="2942BF89">
      <w:pPr>
        <w:keepNext w:val="0"/>
        <w:keepLines w:val="0"/>
        <w:pageBreakBefore w:val="0"/>
        <w:widowControl w:val="0"/>
        <w:kinsoku/>
        <w:overflowPunct/>
        <w:topLinePunct/>
        <w:bidi w:val="0"/>
        <w:snapToGrid w:val="0"/>
        <w:ind w:firstLine="480"/>
        <w:rPr>
          <w:sz w:val="24"/>
          <w:highlight w:val="none"/>
          <w:u w:val="single"/>
        </w:rPr>
      </w:pPr>
    </w:p>
    <w:p w14:paraId="09FD505E">
      <w:pPr>
        <w:keepNext w:val="0"/>
        <w:keepLines w:val="0"/>
        <w:pageBreakBefore w:val="0"/>
        <w:widowControl w:val="0"/>
        <w:tabs>
          <w:tab w:val="left" w:pos="4000"/>
        </w:tabs>
        <w:kinsoku/>
        <w:overflowPunct/>
        <w:topLinePunct/>
        <w:bidi w:val="0"/>
        <w:snapToGrid w:val="0"/>
        <w:spacing w:line="480" w:lineRule="auto"/>
        <w:ind w:firstLine="3360" w:firstLineChars="1400"/>
        <w:jc w:val="left"/>
        <w:rPr>
          <w:kern w:val="0"/>
          <w:sz w:val="24"/>
          <w:highlight w:val="none"/>
        </w:rPr>
      </w:pPr>
      <w:r>
        <w:rPr>
          <w:rFonts w:hint="eastAsia"/>
          <w:kern w:val="0"/>
          <w:sz w:val="24"/>
          <w:highlight w:val="none"/>
        </w:rPr>
        <w:t>投标人</w:t>
      </w:r>
      <w:r>
        <w:rPr>
          <w:kern w:val="0"/>
          <w:sz w:val="24"/>
          <w:highlight w:val="none"/>
        </w:rPr>
        <w:t>名称：</w:t>
      </w:r>
      <w:r>
        <w:rPr>
          <w:kern w:val="0"/>
          <w:sz w:val="24"/>
          <w:highlight w:val="none"/>
          <w:u w:val="single"/>
        </w:rPr>
        <w:t xml:space="preserve">                   </w:t>
      </w:r>
      <w:r>
        <w:rPr>
          <w:rFonts w:hint="eastAsia"/>
          <w:kern w:val="0"/>
          <w:sz w:val="24"/>
          <w:highlight w:val="none"/>
        </w:rPr>
        <w:t>（</w:t>
      </w:r>
      <w:r>
        <w:rPr>
          <w:kern w:val="0"/>
          <w:sz w:val="24"/>
          <w:highlight w:val="none"/>
        </w:rPr>
        <w:t>盖章</w:t>
      </w:r>
      <w:r>
        <w:rPr>
          <w:rFonts w:hint="eastAsia"/>
          <w:kern w:val="0"/>
          <w:sz w:val="24"/>
          <w:highlight w:val="none"/>
        </w:rPr>
        <w:t>）</w:t>
      </w:r>
    </w:p>
    <w:p w14:paraId="5990F62B">
      <w:pPr>
        <w:keepNext w:val="0"/>
        <w:keepLines w:val="0"/>
        <w:pageBreakBefore w:val="0"/>
        <w:widowControl w:val="0"/>
        <w:tabs>
          <w:tab w:val="left" w:pos="4000"/>
        </w:tabs>
        <w:kinsoku/>
        <w:overflowPunct/>
        <w:topLinePunct/>
        <w:bidi w:val="0"/>
        <w:snapToGrid w:val="0"/>
        <w:spacing w:line="480" w:lineRule="auto"/>
        <w:ind w:firstLine="3360" w:firstLineChars="1400"/>
        <w:jc w:val="left"/>
        <w:rPr>
          <w:kern w:val="0"/>
          <w:sz w:val="24"/>
          <w:highlight w:val="none"/>
        </w:rPr>
      </w:pPr>
      <w:r>
        <w:rPr>
          <w:rFonts w:hint="eastAsia"/>
          <w:kern w:val="0"/>
          <w:sz w:val="24"/>
          <w:highlight w:val="none"/>
        </w:rPr>
        <w:t>投标人</w:t>
      </w:r>
      <w:r>
        <w:rPr>
          <w:kern w:val="0"/>
          <w:sz w:val="24"/>
          <w:highlight w:val="none"/>
        </w:rPr>
        <w:t>授权代表：</w:t>
      </w:r>
      <w:r>
        <w:rPr>
          <w:kern w:val="0"/>
          <w:sz w:val="24"/>
          <w:highlight w:val="none"/>
          <w:u w:val="single"/>
        </w:rPr>
        <w:t xml:space="preserve">              </w:t>
      </w:r>
      <w:r>
        <w:rPr>
          <w:rFonts w:hint="eastAsia"/>
          <w:kern w:val="0"/>
          <w:sz w:val="24"/>
          <w:highlight w:val="none"/>
        </w:rPr>
        <w:t>（</w:t>
      </w:r>
      <w:r>
        <w:rPr>
          <w:kern w:val="0"/>
          <w:sz w:val="24"/>
          <w:highlight w:val="none"/>
        </w:rPr>
        <w:t>签字或盖章</w:t>
      </w:r>
      <w:r>
        <w:rPr>
          <w:rFonts w:hint="eastAsia"/>
          <w:kern w:val="0"/>
          <w:sz w:val="24"/>
          <w:highlight w:val="none"/>
        </w:rPr>
        <w:t>）</w:t>
      </w:r>
    </w:p>
    <w:p w14:paraId="6346E684">
      <w:pPr>
        <w:keepNext w:val="0"/>
        <w:keepLines w:val="0"/>
        <w:pageBreakBefore w:val="0"/>
        <w:widowControl w:val="0"/>
        <w:kinsoku/>
        <w:overflowPunct/>
        <w:topLinePunct/>
        <w:bidi w:val="0"/>
        <w:snapToGrid w:val="0"/>
        <w:spacing w:line="480" w:lineRule="auto"/>
        <w:ind w:firstLine="3360" w:firstLineChars="1400"/>
        <w:rPr>
          <w:sz w:val="24"/>
          <w:highlight w:val="none"/>
        </w:rPr>
      </w:pPr>
      <w:r>
        <w:rPr>
          <w:sz w:val="24"/>
          <w:highlight w:val="none"/>
        </w:rPr>
        <w:t>日      期：</w:t>
      </w:r>
    </w:p>
    <w:p w14:paraId="44648DE5">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bookmarkStart w:id="85" w:name="_Toc180347491"/>
      <w:r>
        <w:rPr>
          <w:rFonts w:ascii="宋体" w:hAnsi="宋体"/>
          <w:b/>
          <w:kern w:val="0"/>
          <w:sz w:val="24"/>
          <w:highlight w:val="none"/>
        </w:rPr>
        <w:br w:type="textWrapping"/>
      </w:r>
    </w:p>
    <w:p w14:paraId="2D508A00">
      <w:pPr>
        <w:rPr>
          <w:rFonts w:ascii="宋体" w:hAnsi="宋体"/>
          <w:b/>
          <w:kern w:val="0"/>
          <w:sz w:val="24"/>
          <w:highlight w:val="none"/>
        </w:rPr>
      </w:pPr>
      <w:r>
        <w:rPr>
          <w:rFonts w:ascii="宋体" w:hAnsi="宋体"/>
          <w:b/>
          <w:kern w:val="0"/>
          <w:sz w:val="24"/>
          <w:highlight w:val="none"/>
        </w:rPr>
        <w:br w:type="page"/>
      </w:r>
    </w:p>
    <w:p w14:paraId="141043AC">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r>
        <w:rPr>
          <w:rFonts w:ascii="宋体" w:hAnsi="宋体"/>
          <w:b/>
          <w:kern w:val="0"/>
          <w:sz w:val="24"/>
          <w:highlight w:val="none"/>
        </w:rPr>
        <w:t>6．</w:t>
      </w:r>
      <w:bookmarkEnd w:id="85"/>
      <w:r>
        <w:rPr>
          <w:rFonts w:hint="eastAsia" w:ascii="宋体" w:hAnsi="宋体"/>
          <w:b/>
          <w:kern w:val="0"/>
          <w:sz w:val="24"/>
          <w:highlight w:val="none"/>
          <w:lang w:eastAsia="zh-CN"/>
        </w:rPr>
        <w:t>投标文件技术要求响应表</w:t>
      </w:r>
    </w:p>
    <w:p w14:paraId="682F3114">
      <w:pPr>
        <w:keepNext w:val="0"/>
        <w:keepLines w:val="0"/>
        <w:pageBreakBefore w:val="0"/>
        <w:widowControl w:val="0"/>
        <w:kinsoku/>
        <w:overflowPunct/>
        <w:topLinePunct/>
        <w:bidi w:val="0"/>
        <w:adjustRightInd w:val="0"/>
        <w:snapToGrid w:val="0"/>
        <w:spacing w:line="360" w:lineRule="auto"/>
        <w:ind w:firstLine="562"/>
        <w:jc w:val="center"/>
        <w:rPr>
          <w:rFonts w:hint="eastAsia"/>
          <w:b/>
          <w:kern w:val="0"/>
          <w:sz w:val="28"/>
          <w:szCs w:val="28"/>
          <w:highlight w:val="none"/>
          <w:lang w:eastAsia="zh-CN"/>
        </w:rPr>
      </w:pPr>
    </w:p>
    <w:p w14:paraId="38D0CB67">
      <w:pPr>
        <w:keepNext w:val="0"/>
        <w:keepLines w:val="0"/>
        <w:pageBreakBefore w:val="0"/>
        <w:widowControl w:val="0"/>
        <w:kinsoku/>
        <w:overflowPunct/>
        <w:topLinePunct/>
        <w:bidi w:val="0"/>
        <w:adjustRightInd w:val="0"/>
        <w:snapToGrid w:val="0"/>
        <w:spacing w:line="360" w:lineRule="auto"/>
        <w:ind w:firstLine="562"/>
        <w:jc w:val="center"/>
        <w:rPr>
          <w:b/>
          <w:kern w:val="0"/>
          <w:sz w:val="28"/>
          <w:szCs w:val="28"/>
          <w:highlight w:val="none"/>
        </w:rPr>
      </w:pPr>
      <w:r>
        <w:rPr>
          <w:rFonts w:hint="eastAsia"/>
          <w:b/>
          <w:kern w:val="0"/>
          <w:sz w:val="28"/>
          <w:szCs w:val="28"/>
          <w:highlight w:val="none"/>
          <w:lang w:eastAsia="zh-CN"/>
        </w:rPr>
        <w:t>投标文件技术要求响应表</w:t>
      </w:r>
    </w:p>
    <w:p w14:paraId="4D8AB006">
      <w:pPr>
        <w:keepNext w:val="0"/>
        <w:keepLines w:val="0"/>
        <w:pageBreakBefore w:val="0"/>
        <w:widowControl w:val="0"/>
        <w:kinsoku/>
        <w:overflowPunct/>
        <w:topLinePunct/>
        <w:bidi w:val="0"/>
        <w:spacing w:line="360" w:lineRule="auto"/>
        <w:ind w:firstLine="480"/>
        <w:rPr>
          <w:sz w:val="24"/>
          <w:highlight w:val="none"/>
        </w:rPr>
      </w:pPr>
      <w:r>
        <w:rPr>
          <w:sz w:val="24"/>
          <w:highlight w:val="none"/>
        </w:rPr>
        <w:t>项目名称：</w:t>
      </w:r>
    </w:p>
    <w:p w14:paraId="61469765">
      <w:pPr>
        <w:keepNext w:val="0"/>
        <w:keepLines w:val="0"/>
        <w:pageBreakBefore w:val="0"/>
        <w:widowControl w:val="0"/>
        <w:kinsoku/>
        <w:overflowPunct/>
        <w:topLinePunct/>
        <w:bidi w:val="0"/>
        <w:spacing w:line="360" w:lineRule="auto"/>
        <w:ind w:firstLine="480"/>
        <w:rPr>
          <w:sz w:val="24"/>
          <w:highlight w:val="none"/>
        </w:rPr>
      </w:pPr>
      <w:r>
        <w:rPr>
          <w:sz w:val="24"/>
          <w:highlight w:val="none"/>
        </w:rPr>
        <w:t>项目编号：</w:t>
      </w:r>
    </w:p>
    <w:tbl>
      <w:tblPr>
        <w:tblStyle w:val="23"/>
        <w:tblW w:w="998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739"/>
        <w:gridCol w:w="3832"/>
        <w:gridCol w:w="3033"/>
        <w:gridCol w:w="1033"/>
        <w:gridCol w:w="774"/>
      </w:tblGrid>
      <w:tr w14:paraId="72020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72" w:type="dxa"/>
            <w:tcBorders>
              <w:top w:val="single" w:color="000000" w:sz="6" w:space="0"/>
              <w:left w:val="single" w:color="000000" w:sz="6" w:space="0"/>
              <w:bottom w:val="single" w:color="000000" w:sz="6" w:space="0"/>
              <w:right w:val="single" w:color="auto" w:sz="4" w:space="0"/>
            </w:tcBorders>
            <w:vAlign w:val="center"/>
          </w:tcPr>
          <w:p w14:paraId="618BC09E">
            <w:pPr>
              <w:keepNext w:val="0"/>
              <w:keepLines w:val="0"/>
              <w:pageBreakBefore w:val="0"/>
              <w:widowControl w:val="0"/>
              <w:kinsoku/>
              <w:wordWrap w:val="0"/>
              <w:overflowPunct/>
              <w:topLinePunct/>
              <w:autoSpaceDE/>
              <w:autoSpaceDN/>
              <w:bidi w:val="0"/>
              <w:adjustRightInd w:val="0"/>
              <w:snapToGrid w:val="0"/>
              <w:spacing w:line="400" w:lineRule="exact"/>
              <w:jc w:val="center"/>
              <w:rPr>
                <w:kern w:val="0"/>
                <w:sz w:val="24"/>
                <w:highlight w:val="none"/>
              </w:rPr>
            </w:pPr>
            <w:r>
              <w:rPr>
                <w:kern w:val="0"/>
                <w:sz w:val="24"/>
                <w:highlight w:val="none"/>
              </w:rPr>
              <w:t>序号</w:t>
            </w:r>
          </w:p>
        </w:tc>
        <w:tc>
          <w:tcPr>
            <w:tcW w:w="739" w:type="dxa"/>
            <w:tcBorders>
              <w:top w:val="single" w:color="000000" w:sz="6" w:space="0"/>
              <w:left w:val="single" w:color="auto" w:sz="4" w:space="0"/>
              <w:bottom w:val="single" w:color="000000" w:sz="6" w:space="0"/>
              <w:right w:val="single" w:color="000000" w:sz="6" w:space="0"/>
            </w:tcBorders>
            <w:vAlign w:val="center"/>
          </w:tcPr>
          <w:p w14:paraId="24F27FCE">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kern w:val="0"/>
                <w:sz w:val="24"/>
                <w:highlight w:val="none"/>
                <w:lang w:eastAsia="zh-CN"/>
              </w:rPr>
            </w:pPr>
            <w:r>
              <w:rPr>
                <w:rFonts w:hint="eastAsia"/>
                <w:bCs/>
                <w:sz w:val="24"/>
                <w:highlight w:val="none"/>
                <w:lang w:val="en-US" w:eastAsia="zh-CN"/>
              </w:rPr>
              <w:t>服务</w:t>
            </w:r>
            <w:r>
              <w:rPr>
                <w:rFonts w:hint="eastAsia"/>
                <w:bCs/>
                <w:sz w:val="24"/>
                <w:highlight w:val="none"/>
                <w:lang w:eastAsia="zh-CN"/>
              </w:rPr>
              <w:t>名称</w:t>
            </w:r>
          </w:p>
        </w:tc>
        <w:tc>
          <w:tcPr>
            <w:tcW w:w="3832" w:type="dxa"/>
            <w:tcBorders>
              <w:top w:val="single" w:color="000000" w:sz="6" w:space="0"/>
              <w:left w:val="single" w:color="000000" w:sz="6" w:space="0"/>
              <w:bottom w:val="single" w:color="000000" w:sz="6" w:space="0"/>
              <w:right w:val="single" w:color="000000" w:sz="6" w:space="0"/>
            </w:tcBorders>
            <w:vAlign w:val="center"/>
          </w:tcPr>
          <w:p w14:paraId="3C5F4534">
            <w:pPr>
              <w:keepNext w:val="0"/>
              <w:keepLines w:val="0"/>
              <w:pageBreakBefore w:val="0"/>
              <w:widowControl w:val="0"/>
              <w:kinsoku/>
              <w:wordWrap w:val="0"/>
              <w:overflowPunct/>
              <w:topLinePunct/>
              <w:autoSpaceDE/>
              <w:autoSpaceDN/>
              <w:bidi w:val="0"/>
              <w:adjustRightInd w:val="0"/>
              <w:snapToGrid w:val="0"/>
              <w:spacing w:line="400" w:lineRule="exact"/>
              <w:jc w:val="center"/>
              <w:rPr>
                <w:kern w:val="0"/>
                <w:sz w:val="24"/>
                <w:highlight w:val="none"/>
              </w:rPr>
            </w:pPr>
            <w:r>
              <w:rPr>
                <w:rFonts w:hint="eastAsia"/>
                <w:kern w:val="0"/>
                <w:sz w:val="24"/>
                <w:highlight w:val="none"/>
              </w:rPr>
              <w:t>招标文件</w:t>
            </w:r>
            <w:r>
              <w:rPr>
                <w:kern w:val="0"/>
                <w:sz w:val="24"/>
                <w:highlight w:val="none"/>
              </w:rPr>
              <w:t>技术</w:t>
            </w:r>
          </w:p>
          <w:p w14:paraId="18CA9DE3">
            <w:pPr>
              <w:keepNext w:val="0"/>
              <w:keepLines w:val="0"/>
              <w:pageBreakBefore w:val="0"/>
              <w:widowControl w:val="0"/>
              <w:kinsoku/>
              <w:wordWrap w:val="0"/>
              <w:overflowPunct/>
              <w:topLinePunct/>
              <w:autoSpaceDE/>
              <w:autoSpaceDN/>
              <w:bidi w:val="0"/>
              <w:adjustRightInd w:val="0"/>
              <w:snapToGrid w:val="0"/>
              <w:spacing w:line="400" w:lineRule="exact"/>
              <w:jc w:val="center"/>
              <w:rPr>
                <w:kern w:val="0"/>
                <w:sz w:val="24"/>
                <w:highlight w:val="none"/>
              </w:rPr>
            </w:pPr>
            <w:r>
              <w:rPr>
                <w:kern w:val="0"/>
                <w:sz w:val="24"/>
                <w:highlight w:val="none"/>
              </w:rPr>
              <w:t>规范、要求</w:t>
            </w:r>
          </w:p>
        </w:tc>
        <w:tc>
          <w:tcPr>
            <w:tcW w:w="3033" w:type="dxa"/>
            <w:tcBorders>
              <w:top w:val="single" w:color="000000" w:sz="6" w:space="0"/>
              <w:left w:val="single" w:color="000000" w:sz="6" w:space="0"/>
              <w:bottom w:val="single" w:color="000000" w:sz="6" w:space="0"/>
              <w:right w:val="single" w:color="000000" w:sz="6" w:space="0"/>
            </w:tcBorders>
            <w:vAlign w:val="center"/>
          </w:tcPr>
          <w:p w14:paraId="04C0C921">
            <w:pPr>
              <w:keepNext w:val="0"/>
              <w:keepLines w:val="0"/>
              <w:pageBreakBefore w:val="0"/>
              <w:widowControl w:val="0"/>
              <w:kinsoku/>
              <w:wordWrap w:val="0"/>
              <w:overflowPunct/>
              <w:topLinePunct/>
              <w:autoSpaceDE/>
              <w:autoSpaceDN/>
              <w:bidi w:val="0"/>
              <w:adjustRightInd w:val="0"/>
              <w:snapToGrid w:val="0"/>
              <w:spacing w:line="400" w:lineRule="exact"/>
              <w:jc w:val="center"/>
              <w:rPr>
                <w:kern w:val="0"/>
                <w:sz w:val="24"/>
                <w:highlight w:val="none"/>
              </w:rPr>
            </w:pPr>
            <w:r>
              <w:rPr>
                <w:rFonts w:hint="eastAsia"/>
                <w:kern w:val="0"/>
                <w:sz w:val="24"/>
                <w:highlight w:val="none"/>
              </w:rPr>
              <w:t>投标文件</w:t>
            </w:r>
          </w:p>
          <w:p w14:paraId="6C228C77">
            <w:pPr>
              <w:keepNext w:val="0"/>
              <w:keepLines w:val="0"/>
              <w:pageBreakBefore w:val="0"/>
              <w:widowControl w:val="0"/>
              <w:kinsoku/>
              <w:wordWrap w:val="0"/>
              <w:overflowPunct/>
              <w:topLinePunct/>
              <w:autoSpaceDE/>
              <w:autoSpaceDN/>
              <w:bidi w:val="0"/>
              <w:adjustRightInd w:val="0"/>
              <w:snapToGrid w:val="0"/>
              <w:spacing w:line="400" w:lineRule="exact"/>
              <w:jc w:val="center"/>
              <w:rPr>
                <w:rFonts w:hint="eastAsia" w:eastAsia="宋体"/>
                <w:kern w:val="0"/>
                <w:sz w:val="24"/>
                <w:highlight w:val="none"/>
                <w:lang w:eastAsia="zh-CN"/>
              </w:rPr>
            </w:pPr>
            <w:r>
              <w:rPr>
                <w:kern w:val="0"/>
                <w:sz w:val="24"/>
                <w:highlight w:val="none"/>
              </w:rPr>
              <w:t>对应</w:t>
            </w:r>
            <w:r>
              <w:rPr>
                <w:rFonts w:hint="eastAsia"/>
                <w:kern w:val="0"/>
                <w:sz w:val="24"/>
                <w:highlight w:val="none"/>
                <w:lang w:val="en-US" w:eastAsia="zh-CN"/>
              </w:rPr>
              <w:t>响应</w:t>
            </w:r>
          </w:p>
        </w:tc>
        <w:tc>
          <w:tcPr>
            <w:tcW w:w="1033" w:type="dxa"/>
            <w:tcBorders>
              <w:top w:val="single" w:color="000000" w:sz="6" w:space="0"/>
              <w:left w:val="single" w:color="000000" w:sz="6" w:space="0"/>
              <w:bottom w:val="single" w:color="000000" w:sz="6" w:space="0"/>
              <w:right w:val="single" w:color="000000" w:sz="6" w:space="0"/>
            </w:tcBorders>
            <w:vAlign w:val="center"/>
          </w:tcPr>
          <w:p w14:paraId="39FF235E">
            <w:pPr>
              <w:keepNext w:val="0"/>
              <w:keepLines w:val="0"/>
              <w:pageBreakBefore w:val="0"/>
              <w:widowControl w:val="0"/>
              <w:kinsoku/>
              <w:wordWrap w:val="0"/>
              <w:overflowPunct/>
              <w:topLinePunct/>
              <w:autoSpaceDE/>
              <w:autoSpaceDN/>
              <w:bidi w:val="0"/>
              <w:adjustRightInd w:val="0"/>
              <w:snapToGrid w:val="0"/>
              <w:spacing w:line="400" w:lineRule="exact"/>
              <w:jc w:val="center"/>
              <w:rPr>
                <w:kern w:val="0"/>
                <w:sz w:val="24"/>
                <w:highlight w:val="none"/>
              </w:rPr>
            </w:pPr>
            <w:r>
              <w:rPr>
                <w:kern w:val="0"/>
                <w:sz w:val="24"/>
                <w:highlight w:val="none"/>
              </w:rPr>
              <w:t>偏离情况</w:t>
            </w:r>
          </w:p>
        </w:tc>
        <w:tc>
          <w:tcPr>
            <w:tcW w:w="774" w:type="dxa"/>
            <w:tcBorders>
              <w:top w:val="single" w:color="000000" w:sz="6" w:space="0"/>
              <w:left w:val="single" w:color="000000" w:sz="6" w:space="0"/>
              <w:bottom w:val="single" w:color="000000" w:sz="6" w:space="0"/>
              <w:right w:val="single" w:color="000000" w:sz="6" w:space="0"/>
            </w:tcBorders>
            <w:vAlign w:val="center"/>
          </w:tcPr>
          <w:p w14:paraId="3FAFEB30">
            <w:pPr>
              <w:keepNext w:val="0"/>
              <w:keepLines w:val="0"/>
              <w:pageBreakBefore w:val="0"/>
              <w:widowControl w:val="0"/>
              <w:kinsoku/>
              <w:wordWrap w:val="0"/>
              <w:overflowPunct/>
              <w:topLinePunct/>
              <w:autoSpaceDE/>
              <w:autoSpaceDN/>
              <w:bidi w:val="0"/>
              <w:adjustRightInd w:val="0"/>
              <w:snapToGrid w:val="0"/>
              <w:spacing w:line="400" w:lineRule="exact"/>
              <w:jc w:val="center"/>
              <w:rPr>
                <w:kern w:val="0"/>
                <w:sz w:val="24"/>
                <w:highlight w:val="none"/>
              </w:rPr>
            </w:pPr>
            <w:r>
              <w:rPr>
                <w:kern w:val="0"/>
                <w:sz w:val="24"/>
                <w:highlight w:val="none"/>
              </w:rPr>
              <w:t>备注</w:t>
            </w:r>
          </w:p>
        </w:tc>
      </w:tr>
      <w:tr w14:paraId="4CDB2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572" w:type="dxa"/>
            <w:tcBorders>
              <w:top w:val="single" w:color="000000" w:sz="6" w:space="0"/>
              <w:left w:val="single" w:color="000000" w:sz="6" w:space="0"/>
              <w:bottom w:val="single" w:color="000000" w:sz="6" w:space="0"/>
              <w:right w:val="single" w:color="auto" w:sz="4" w:space="0"/>
            </w:tcBorders>
            <w:shd w:val="clear" w:color="auto" w:fill="auto"/>
            <w:vAlign w:val="center"/>
          </w:tcPr>
          <w:p w14:paraId="70A4C55B">
            <w:pPr>
              <w:keepNext w:val="0"/>
              <w:keepLines w:val="0"/>
              <w:pageBreakBefore w:val="0"/>
              <w:widowControl w:val="0"/>
              <w:kinsoku/>
              <w:overflowPunct/>
              <w:bidi w:val="0"/>
              <w:spacing w:line="36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1</w:t>
            </w:r>
          </w:p>
        </w:tc>
        <w:tc>
          <w:tcPr>
            <w:tcW w:w="739" w:type="dxa"/>
            <w:tcBorders>
              <w:top w:val="single" w:color="000000" w:sz="6" w:space="0"/>
              <w:left w:val="single" w:color="auto" w:sz="4" w:space="0"/>
              <w:bottom w:val="single" w:color="000000" w:sz="6" w:space="0"/>
              <w:right w:val="single" w:color="000000" w:sz="6" w:space="0"/>
            </w:tcBorders>
            <w:shd w:val="clear" w:color="auto" w:fill="auto"/>
            <w:vAlign w:val="center"/>
          </w:tcPr>
          <w:p w14:paraId="2CC7C03D">
            <w:pPr>
              <w:keepNext w:val="0"/>
              <w:keepLines w:val="0"/>
              <w:pageBreakBefore w:val="0"/>
              <w:widowControl w:val="0"/>
              <w:kinsoku/>
              <w:overflowPunct/>
              <w:bidi w:val="0"/>
              <w:spacing w:line="360" w:lineRule="auto"/>
              <w:jc w:val="center"/>
              <w:rPr>
                <w:rFonts w:hint="eastAsia" w:ascii="宋体" w:hAnsi="宋体" w:eastAsia="宋体" w:cs="宋体"/>
                <w:bCs/>
                <w:kern w:val="2"/>
                <w:sz w:val="24"/>
                <w:szCs w:val="24"/>
                <w:highlight w:val="none"/>
                <w:lang w:val="en-US" w:eastAsia="zh-CN" w:bidi="ar-SA"/>
              </w:rPr>
            </w:pPr>
            <w:r>
              <w:rPr>
                <w:rFonts w:hint="eastAsia" w:ascii="宋体" w:hAnsi="宋体" w:cs="宋体"/>
                <w:color w:val="auto"/>
                <w:kern w:val="0"/>
                <w:sz w:val="24"/>
                <w:highlight w:val="none"/>
                <w:lang w:val="en-US" w:eastAsia="zh-CN"/>
              </w:rPr>
              <w:t>太原市DRG支付方式改革第三方服务项目</w:t>
            </w:r>
          </w:p>
        </w:tc>
        <w:tc>
          <w:tcPr>
            <w:tcW w:w="383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52F86E">
            <w:pPr>
              <w:keepNext w:val="0"/>
              <w:keepLines w:val="0"/>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贯彻落实《关于印发按病组和病种分值付费2.0版分组方案并深入推进相关工作的通知》（医保办发〔2024〕9号）、《关于下发2024年度全省DRG付费统一分组方案（CHS-DRG-SX2024）的通知》（晋医保办发〔2024〕10号）、《关于印发山西省DRG付费结算清算服务流程（试行）的通知》（晋医保办函〔2024〕29号）、《关于做好2025年医保支付方式改革有关工作的通知》（晋医保办发〔2025〕2号）等文件精神与工作要求，太原市医疗保障局根据《关于加快推进太原市医保支付方式改革工作的通知》（并医保发〔2023〕6号）等文件内容，为进一步深化太原市医保支付方式改革工作，</w:t>
            </w:r>
            <w:r>
              <w:rPr>
                <w:rFonts w:hint="eastAsia" w:asciiTheme="minorEastAsia" w:hAnsiTheme="minorEastAsia" w:eastAsiaTheme="minorEastAsia" w:cstheme="minorEastAsia"/>
                <w:color w:val="auto"/>
                <w:sz w:val="24"/>
                <w:szCs w:val="24"/>
                <w:highlight w:val="none"/>
                <w:lang w:val="en-US" w:eastAsia="zh-CN"/>
              </w:rPr>
              <w:t>成交供应商通过</w:t>
            </w:r>
            <w:r>
              <w:rPr>
                <w:rFonts w:hint="eastAsia" w:asciiTheme="minorEastAsia" w:hAnsiTheme="minorEastAsia" w:eastAsiaTheme="minorEastAsia" w:cstheme="minorEastAsia"/>
                <w:color w:val="auto"/>
                <w:sz w:val="24"/>
                <w:szCs w:val="24"/>
                <w:highlight w:val="none"/>
              </w:rPr>
              <w:t>开展技术支持及经办服务，按照国家、省、市的相关要求，结合太原市医保实际情况，构建形成具备太原特色、适合太原参保患者特点、符合太原医疗技术水平的多元复合</w:t>
            </w:r>
            <w:r>
              <w:rPr>
                <w:rFonts w:hint="eastAsia" w:asciiTheme="minorEastAsia" w:hAnsiTheme="minorEastAsia" w:eastAsiaTheme="minorEastAsia" w:cstheme="minorEastAsia"/>
                <w:color w:val="auto"/>
                <w:sz w:val="24"/>
                <w:szCs w:val="24"/>
                <w:highlight w:val="none"/>
                <w:lang w:val="en-US" w:eastAsia="zh-CN"/>
              </w:rPr>
              <w:t>型支付方式</w:t>
            </w:r>
            <w:r>
              <w:rPr>
                <w:rFonts w:hint="eastAsia" w:asciiTheme="minorEastAsia" w:hAnsiTheme="minorEastAsia" w:eastAsiaTheme="minorEastAsia" w:cstheme="minorEastAsia"/>
                <w:color w:val="auto"/>
                <w:sz w:val="24"/>
                <w:szCs w:val="24"/>
                <w:highlight w:val="none"/>
              </w:rPr>
              <w:t>，提高医保基金的使用效率，</w:t>
            </w:r>
            <w:r>
              <w:rPr>
                <w:rFonts w:hint="eastAsia" w:asciiTheme="minorEastAsia" w:hAnsiTheme="minorEastAsia" w:eastAsiaTheme="minorEastAsia" w:cstheme="minorEastAsia"/>
                <w:color w:val="auto"/>
                <w:sz w:val="24"/>
                <w:szCs w:val="24"/>
                <w:highlight w:val="none"/>
                <w:lang w:val="en-US" w:eastAsia="zh-CN"/>
              </w:rPr>
              <w:t>推进</w:t>
            </w:r>
            <w:r>
              <w:rPr>
                <w:rFonts w:hint="eastAsia" w:asciiTheme="minorEastAsia" w:hAnsiTheme="minorEastAsia" w:eastAsiaTheme="minorEastAsia" w:cstheme="minorEastAsia"/>
                <w:color w:val="auto"/>
                <w:sz w:val="24"/>
                <w:szCs w:val="24"/>
                <w:highlight w:val="none"/>
              </w:rPr>
              <w:t>太原市支付方式改革精细化纵深发展。</w:t>
            </w:r>
          </w:p>
          <w:p w14:paraId="531E7865">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项目总体要求</w:t>
            </w:r>
          </w:p>
          <w:p w14:paraId="1EA520C4">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项目工作背景</w:t>
            </w:r>
          </w:p>
          <w:p w14:paraId="62D69163">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太原市医保</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改革已取得</w:t>
            </w:r>
            <w:r>
              <w:rPr>
                <w:rFonts w:hint="eastAsia" w:asciiTheme="minorEastAsia" w:hAnsiTheme="minorEastAsia" w:eastAsiaTheme="minorEastAsia" w:cstheme="minorEastAsia"/>
                <w:color w:val="auto"/>
                <w:sz w:val="24"/>
                <w:szCs w:val="24"/>
                <w:highlight w:val="none"/>
                <w:lang w:val="en-US" w:eastAsia="zh-CN"/>
              </w:rPr>
              <w:t>初步</w:t>
            </w:r>
            <w:r>
              <w:rPr>
                <w:rFonts w:hint="eastAsia" w:asciiTheme="minorEastAsia" w:hAnsiTheme="minorEastAsia" w:eastAsiaTheme="minorEastAsia" w:cstheme="minorEastAsia"/>
                <w:color w:val="auto"/>
                <w:sz w:val="24"/>
                <w:szCs w:val="24"/>
                <w:highlight w:val="none"/>
              </w:rPr>
              <w:t>成效，</w:t>
            </w:r>
            <w:r>
              <w:rPr>
                <w:rFonts w:hint="eastAsia" w:asciiTheme="minorEastAsia" w:hAnsiTheme="minorEastAsia" w:eastAsiaTheme="minorEastAsia" w:cstheme="minorEastAsia"/>
                <w:color w:val="auto"/>
                <w:sz w:val="24"/>
                <w:szCs w:val="24"/>
                <w:highlight w:val="none"/>
                <w:lang w:val="en-US" w:eastAsia="zh-CN"/>
              </w:rPr>
              <w:t>纳入DRG付费的医疗机构住院次均费用、平均住院日、平均药耗占比等指标均有效降低，并</w:t>
            </w:r>
            <w:r>
              <w:rPr>
                <w:rFonts w:hint="eastAsia" w:asciiTheme="minorEastAsia" w:hAnsiTheme="minorEastAsia" w:eastAsiaTheme="minorEastAsia" w:cstheme="minorEastAsia"/>
                <w:color w:val="auto"/>
                <w:sz w:val="24"/>
                <w:szCs w:val="24"/>
                <w:highlight w:val="none"/>
              </w:rPr>
              <w:t>建立了包括特例单议、协商谈判、预付金、意见收集和数据工作组在内的</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项付费改革配套机制，有效保障了复杂危重病例的充分治疗和新药新技术的合理应用。</w:t>
            </w:r>
            <w:r>
              <w:rPr>
                <w:rFonts w:hint="eastAsia" w:asciiTheme="minorEastAsia" w:hAnsiTheme="minorEastAsia" w:eastAsiaTheme="minorEastAsia" w:cstheme="minorEastAsia"/>
                <w:color w:val="auto"/>
                <w:kern w:val="2"/>
                <w:sz w:val="24"/>
                <w:szCs w:val="24"/>
                <w:highlight w:val="none"/>
                <w:lang w:val="en-US" w:eastAsia="zh-CN" w:bidi="ar-SA"/>
              </w:rPr>
              <w:t>国家医保DRG付费模块已构建了较为完善的系统功能体系，全面覆盖医疗机构管理、支付方式配置与查询、数据质量控制（包括质控规则维护、结果及规则查询、区县质控结果查询等）、质控方案管理（含方案查询与同步）、DRG付费方式管理（涵盖分组管理、标准与地方分组方案查询及同步、分组结果查询等）、地方支付方案维护（如付费标准设定与查询）、医疗机构月度结算（包括计算配置管理、参数维护、基金计算、结果提交与审核等）、医疗机构费用清算（涉及清算基金计算、结果提交与审核、点数计算、信息核定等全流程）、经办医疗机构月度结算（含经办基金计算、支付结果提交与审核）、预算管理、付费标准组管理（包括维护与查询）以及接口服务（提供分组付费中心服务、事前事后质控服务、质控归档服务、DRG分组服务、付费计算、特病单议退出服务等），实现了从支付配置、质量控制到结算清算的全流程信息化管理，为医保DRG付费方式改革提供了有力的系统支撑。</w:t>
            </w:r>
          </w:p>
          <w:p w14:paraId="06F6059F">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项目工作目标</w:t>
            </w:r>
          </w:p>
          <w:p w14:paraId="794F5669">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方式改革为核心驱动，构建标准化、智能化、高效协同的医保支付管理体系，推动我市医保支付系统全面接入省级平台，实现太原市现有</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方式管理系统向国家统一系统切换、业务经办流程统一化、数据治理规范化、支付标准科学化。通过系统迁移、技术支撑与日常经办服务的深度整合，促进医保基金精细化管理与合理使用，提升医疗服务质量与成本控制效能，助力医保支付方式改革政策平稳落地，形成可复制、可推广的DRG付费本地化实践经验，为深化医疗保障制度改革提供有力支撑。</w:t>
            </w:r>
          </w:p>
          <w:p w14:paraId="03E7E153">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基于DRG系统切换、支付改革技术支撑及日常经办辅助三大服务板块，重点实现以下目标：一是完成本地DRG系统向省级平台的无缝切换，通过需求梳理、政策参数配置与功能测试，确保切换后系统业务流程流畅、支付参数精准合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二是构建全链条技术支撑体系，依托历史数据治理、分组动态调优、支付标准测算及政策辅助优化，形成适配本地实际的DRG分组方案与支付规则，保障基金分配公平合理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三是建立常态化DRG经办服务机制，通过数据质控、病例审核、基金结算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运行分析</w:t>
            </w:r>
            <w:r>
              <w:rPr>
                <w:rFonts w:hint="eastAsia" w:asciiTheme="minorEastAsia" w:hAnsiTheme="minorEastAsia" w:eastAsiaTheme="minorEastAsia" w:cstheme="minorEastAsia"/>
                <w:color w:val="auto"/>
                <w:sz w:val="24"/>
                <w:szCs w:val="24"/>
                <w:highlight w:val="none"/>
                <w:lang w:val="en-US" w:eastAsia="zh-CN"/>
              </w:rPr>
              <w:t>及业务培训</w:t>
            </w:r>
            <w:r>
              <w:rPr>
                <w:rFonts w:hint="eastAsia" w:asciiTheme="minorEastAsia" w:hAnsiTheme="minorEastAsia" w:eastAsiaTheme="minorEastAsia" w:cstheme="minorEastAsia"/>
                <w:color w:val="auto"/>
                <w:sz w:val="24"/>
                <w:szCs w:val="24"/>
                <w:highlight w:val="none"/>
              </w:rPr>
              <w:t>等日常辅助服务，提升医保与医疗机构协同效率，并</w:t>
            </w:r>
            <w:r>
              <w:rPr>
                <w:rFonts w:hint="eastAsia" w:asciiTheme="minorEastAsia" w:hAnsiTheme="minorEastAsia" w:eastAsiaTheme="minorEastAsia" w:cstheme="minorEastAsia"/>
                <w:color w:val="auto"/>
                <w:sz w:val="24"/>
                <w:szCs w:val="24"/>
                <w:highlight w:val="none"/>
                <w:lang w:val="en-US" w:eastAsia="zh-CN"/>
              </w:rPr>
              <w:t>协助医保经办机构发挥好DRG付费特例单议、数据工作组、协商谈判、预付金、意见收集等配套工作机制作用，</w:t>
            </w:r>
            <w:r>
              <w:rPr>
                <w:rFonts w:hint="eastAsia" w:asciiTheme="minorEastAsia" w:hAnsiTheme="minorEastAsia" w:eastAsiaTheme="minorEastAsia" w:cstheme="minorEastAsia"/>
                <w:color w:val="auto"/>
                <w:sz w:val="24"/>
                <w:szCs w:val="24"/>
                <w:highlight w:val="none"/>
              </w:rPr>
              <w:t>为DRG付费改革长效运行提供可持续保障</w:t>
            </w:r>
            <w:r>
              <w:rPr>
                <w:rFonts w:hint="eastAsia" w:asciiTheme="minorEastAsia" w:hAnsiTheme="minorEastAsia" w:eastAsiaTheme="minorEastAsia" w:cstheme="minorEastAsia"/>
                <w:color w:val="auto"/>
                <w:sz w:val="24"/>
                <w:szCs w:val="24"/>
                <w:highlight w:val="none"/>
                <w:lang w:eastAsia="zh-CN"/>
              </w:rPr>
              <w:t>。</w:t>
            </w:r>
          </w:p>
          <w:p w14:paraId="699F01B1">
            <w:pPr>
              <w:pStyle w:val="10"/>
              <w:keepNext w:val="0"/>
              <w:keepLines w:val="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基于以DRG付费方式为主的多元复合型支付体系构建，协助医保部门进一步扩大预付制覆盖范围，推动建立更为立体和管用高效的多元化支付体系。</w:t>
            </w:r>
          </w:p>
          <w:p w14:paraId="5342421D">
            <w:pPr>
              <w:pStyle w:val="10"/>
              <w:pageBreakBefore w:val="0"/>
              <w:widowControl w:val="0"/>
              <w:kinsoku/>
              <w:wordWrap/>
              <w:overflowPunct/>
              <w:autoSpaceDE/>
              <w:autoSpaceDN/>
              <w:bidi w:val="0"/>
              <w:adjustRightInd/>
              <w:snapToGrid/>
              <w:spacing w:after="0" w:line="360" w:lineRule="auto"/>
              <w:ind w:left="0" w:leftChars="0" w:right="0" w:rightChars="0"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项目实施要求</w:t>
            </w:r>
          </w:p>
          <w:p w14:paraId="3699ED52">
            <w:pPr>
              <w:pStyle w:val="30"/>
              <w:pageBreakBefore w:val="0"/>
              <w:widowControl w:val="0"/>
              <w:kinsoku/>
              <w:wordWrap/>
              <w:overflowPunct/>
              <w:autoSpaceDE/>
              <w:autoSpaceDN/>
              <w:bidi w:val="0"/>
              <w:adjustRightInd/>
              <w:snapToGrid/>
              <w:spacing w:line="360" w:lineRule="auto"/>
              <w:ind w:left="0" w:leftChars="0" w:right="0" w:rightChars="0" w:firstLine="482" w:firstLineChars="200"/>
              <w:textAlignment w:val="auto"/>
              <w:outlineLvl w:val="2"/>
              <w:rPr>
                <w:rFonts w:hint="eastAsia" w:asciiTheme="minorEastAsia" w:hAnsiTheme="minorEastAsia" w:eastAsiaTheme="minorEastAsia" w:cstheme="minorEastAsia"/>
                <w:color w:val="auto"/>
                <w:sz w:val="24"/>
                <w:szCs w:val="24"/>
                <w:highlight w:val="none"/>
                <w:vertAlign w:val="superscript"/>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基础能力要求</w:t>
            </w:r>
          </w:p>
          <w:p w14:paraId="0F0FBC7A">
            <w:pPr>
              <w:pStyle w:val="30"/>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供应商应具备</w:t>
            </w:r>
            <w:r>
              <w:rPr>
                <w:rFonts w:hint="eastAsia" w:asciiTheme="minorEastAsia" w:hAnsiTheme="minorEastAsia" w:eastAsiaTheme="minorEastAsia" w:cstheme="minorEastAsia"/>
                <w:bCs/>
                <w:color w:val="auto"/>
                <w:sz w:val="24"/>
                <w:szCs w:val="24"/>
                <w:highlight w:val="none"/>
              </w:rPr>
              <w:t>承接本项目的专业技术及服务能力，</w:t>
            </w:r>
            <w:r>
              <w:rPr>
                <w:rFonts w:hint="eastAsia" w:asciiTheme="minorEastAsia" w:hAnsiTheme="minorEastAsia" w:eastAsiaTheme="minorEastAsia" w:cstheme="minorEastAsia"/>
                <w:color w:val="auto"/>
                <w:sz w:val="24"/>
                <w:szCs w:val="24"/>
                <w:highlight w:val="none"/>
              </w:rPr>
              <w:t>确保各项服务工作有效落地实施，提供满足本项目总体服务要求的专业技术团队。</w:t>
            </w:r>
          </w:p>
          <w:p w14:paraId="30DCD351">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Style w:val="55"/>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1）</w:t>
            </w:r>
            <w:r>
              <w:rPr>
                <w:rStyle w:val="55"/>
                <w:rFonts w:hint="eastAsia" w:asciiTheme="minorEastAsia" w:hAnsiTheme="minorEastAsia" w:eastAsiaTheme="minorEastAsia" w:cstheme="minorEastAsia"/>
                <w:color w:val="auto"/>
                <w:kern w:val="0"/>
                <w:sz w:val="24"/>
                <w:szCs w:val="24"/>
                <w:highlight w:val="none"/>
              </w:rPr>
              <w:t>应组建不少于5人（含）的专业服务团队提供本地驻场服务，包括项目负责人1名，服务人员4名。</w:t>
            </w:r>
          </w:p>
          <w:p w14:paraId="33C1BCFD">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Style w:val="55"/>
                <w:rFonts w:hint="eastAsia" w:asciiTheme="minorEastAsia" w:hAnsiTheme="minorEastAsia" w:eastAsiaTheme="minorEastAsia" w:cstheme="minorEastAsia"/>
                <w:color w:val="auto"/>
                <w:kern w:val="0"/>
                <w:sz w:val="24"/>
                <w:szCs w:val="24"/>
                <w:highlight w:val="none"/>
              </w:rPr>
            </w:pPr>
            <w:r>
              <w:rPr>
                <w:rStyle w:val="55"/>
                <w:rFonts w:hint="eastAsia" w:asciiTheme="minorEastAsia" w:hAnsiTheme="minorEastAsia" w:eastAsiaTheme="minorEastAsia" w:cstheme="minorEastAsia"/>
                <w:color w:val="auto"/>
                <w:kern w:val="0"/>
                <w:sz w:val="24"/>
                <w:szCs w:val="24"/>
                <w:highlight w:val="none"/>
              </w:rPr>
              <w:t>（</w:t>
            </w:r>
            <w:r>
              <w:rPr>
                <w:rStyle w:val="55"/>
                <w:rFonts w:hint="eastAsia" w:asciiTheme="minorEastAsia" w:hAnsiTheme="minorEastAsia" w:eastAsiaTheme="minorEastAsia" w:cstheme="minorEastAsia"/>
                <w:color w:val="auto"/>
                <w:kern w:val="0"/>
                <w:sz w:val="24"/>
                <w:szCs w:val="24"/>
                <w:highlight w:val="none"/>
                <w:lang w:val="en-US"/>
              </w:rPr>
              <w:t>1.</w:t>
            </w:r>
            <w:r>
              <w:rPr>
                <w:rStyle w:val="55"/>
                <w:rFonts w:hint="eastAsia" w:asciiTheme="minorEastAsia" w:hAnsiTheme="minorEastAsia" w:eastAsiaTheme="minorEastAsia" w:cstheme="minorEastAsia"/>
                <w:color w:val="auto"/>
                <w:kern w:val="0"/>
                <w:sz w:val="24"/>
                <w:szCs w:val="24"/>
                <w:highlight w:val="none"/>
              </w:rPr>
              <w:t>2）项目负责人应具备大学本科及以上学历（</w:t>
            </w:r>
            <w:r>
              <w:rPr>
                <w:rStyle w:val="55"/>
                <w:rFonts w:hint="eastAsia" w:asciiTheme="minorEastAsia" w:hAnsiTheme="minorEastAsia" w:eastAsiaTheme="minorEastAsia" w:cstheme="minorEastAsia"/>
                <w:color w:val="auto"/>
                <w:kern w:val="0"/>
                <w:sz w:val="24"/>
                <w:szCs w:val="24"/>
                <w:highlight w:val="none"/>
                <w:lang w:val="en-US"/>
              </w:rPr>
              <w:t>投标文件中提供证明材料</w:t>
            </w:r>
            <w:r>
              <w:rPr>
                <w:rStyle w:val="55"/>
                <w:rFonts w:hint="eastAsia" w:asciiTheme="minorEastAsia" w:hAnsiTheme="minorEastAsia" w:eastAsiaTheme="minorEastAsia" w:cstheme="minorEastAsia"/>
                <w:color w:val="auto"/>
                <w:kern w:val="0"/>
                <w:sz w:val="24"/>
                <w:szCs w:val="24"/>
                <w:highlight w:val="none"/>
              </w:rPr>
              <w:t>），具备丰富的项目管理或相关项目经验。</w:t>
            </w:r>
          </w:p>
          <w:p w14:paraId="37E22B0D">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Style w:val="55"/>
                <w:rFonts w:hint="eastAsia" w:asciiTheme="minorEastAsia" w:hAnsiTheme="minorEastAsia" w:eastAsiaTheme="minorEastAsia" w:cstheme="minorEastAsia"/>
                <w:color w:val="auto"/>
                <w:kern w:val="0"/>
                <w:sz w:val="24"/>
                <w:szCs w:val="24"/>
                <w:highlight w:val="none"/>
                <w:vertAlign w:val="superscript"/>
              </w:rPr>
            </w:pPr>
            <w:r>
              <w:rPr>
                <w:rStyle w:val="55"/>
                <w:rFonts w:hint="eastAsia" w:asciiTheme="minorEastAsia" w:hAnsiTheme="minorEastAsia" w:eastAsiaTheme="minorEastAsia" w:cstheme="minorEastAsia"/>
                <w:color w:val="auto"/>
                <w:kern w:val="0"/>
                <w:sz w:val="24"/>
                <w:szCs w:val="24"/>
                <w:highlight w:val="none"/>
              </w:rPr>
              <w:t>（</w:t>
            </w:r>
            <w:r>
              <w:rPr>
                <w:rStyle w:val="55"/>
                <w:rFonts w:hint="eastAsia" w:asciiTheme="minorEastAsia" w:hAnsiTheme="minorEastAsia" w:eastAsiaTheme="minorEastAsia" w:cstheme="minorEastAsia"/>
                <w:color w:val="auto"/>
                <w:kern w:val="0"/>
                <w:sz w:val="24"/>
                <w:szCs w:val="24"/>
                <w:highlight w:val="none"/>
                <w:lang w:val="en-US"/>
              </w:rPr>
              <w:t>1.</w:t>
            </w:r>
            <w:r>
              <w:rPr>
                <w:rStyle w:val="55"/>
                <w:rFonts w:hint="eastAsia" w:asciiTheme="minorEastAsia" w:hAnsiTheme="minorEastAsia" w:eastAsiaTheme="minorEastAsia" w:cstheme="minorEastAsia"/>
                <w:color w:val="auto"/>
                <w:kern w:val="0"/>
                <w:sz w:val="24"/>
                <w:szCs w:val="24"/>
                <w:highlight w:val="none"/>
              </w:rPr>
              <w:t>3）专业服务人员均应具备大学本科及以上学历（</w:t>
            </w:r>
            <w:r>
              <w:rPr>
                <w:rStyle w:val="55"/>
                <w:rFonts w:hint="eastAsia" w:asciiTheme="minorEastAsia" w:hAnsiTheme="minorEastAsia" w:eastAsiaTheme="minorEastAsia" w:cstheme="minorEastAsia"/>
                <w:color w:val="auto"/>
                <w:kern w:val="0"/>
                <w:sz w:val="24"/>
                <w:szCs w:val="24"/>
                <w:highlight w:val="none"/>
                <w:lang w:val="en-US"/>
              </w:rPr>
              <w:t>投标文件中提供证明材料</w:t>
            </w:r>
            <w:r>
              <w:rPr>
                <w:rStyle w:val="55"/>
                <w:rFonts w:hint="eastAsia" w:asciiTheme="minorEastAsia" w:hAnsiTheme="minorEastAsia" w:eastAsiaTheme="minorEastAsia" w:cstheme="minorEastAsia"/>
                <w:color w:val="auto"/>
                <w:kern w:val="0"/>
                <w:sz w:val="24"/>
                <w:szCs w:val="24"/>
                <w:highlight w:val="none"/>
              </w:rPr>
              <w:t>），能够满足数据质控、信息统计等服务要求。</w:t>
            </w:r>
          </w:p>
          <w:p w14:paraId="2D57DBED">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Style w:val="55"/>
                <w:rFonts w:hint="eastAsia" w:asciiTheme="minorEastAsia" w:hAnsiTheme="minorEastAsia" w:eastAsiaTheme="minorEastAsia" w:cstheme="minorEastAsia"/>
                <w:color w:val="auto"/>
                <w:kern w:val="0"/>
                <w:sz w:val="24"/>
                <w:szCs w:val="24"/>
                <w:highlight w:val="none"/>
              </w:rPr>
            </w:pPr>
            <w:r>
              <w:rPr>
                <w:rStyle w:val="55"/>
                <w:rFonts w:hint="eastAsia" w:asciiTheme="minorEastAsia" w:hAnsiTheme="minorEastAsia" w:eastAsiaTheme="minorEastAsia" w:cstheme="minorEastAsia"/>
                <w:color w:val="auto"/>
                <w:kern w:val="0"/>
                <w:sz w:val="24"/>
                <w:szCs w:val="24"/>
                <w:highlight w:val="none"/>
              </w:rPr>
              <w:t>（</w:t>
            </w:r>
            <w:r>
              <w:rPr>
                <w:rStyle w:val="55"/>
                <w:rFonts w:hint="eastAsia" w:asciiTheme="minorEastAsia" w:hAnsiTheme="minorEastAsia" w:eastAsiaTheme="minorEastAsia" w:cstheme="minorEastAsia"/>
                <w:color w:val="auto"/>
                <w:kern w:val="0"/>
                <w:sz w:val="24"/>
                <w:szCs w:val="24"/>
                <w:highlight w:val="none"/>
                <w:lang w:val="en-US"/>
              </w:rPr>
              <w:t>1.</w:t>
            </w:r>
            <w:r>
              <w:rPr>
                <w:rStyle w:val="55"/>
                <w:rFonts w:hint="eastAsia" w:asciiTheme="minorEastAsia" w:hAnsiTheme="minorEastAsia" w:eastAsiaTheme="minorEastAsia" w:cstheme="minorEastAsia"/>
                <w:color w:val="auto"/>
                <w:kern w:val="0"/>
                <w:sz w:val="24"/>
                <w:szCs w:val="24"/>
                <w:highlight w:val="none"/>
              </w:rPr>
              <w:t>4）所有参与项目服务的人员必须按时到位并保持稳定，如因特殊情况发生人员变更，需将变更人员及其对工作的影响情况以书面的形式报告采购人。</w:t>
            </w:r>
          </w:p>
          <w:p w14:paraId="56DDE1A8">
            <w:pPr>
              <w:pageBreakBefore w:val="0"/>
              <w:widowControl w:val="0"/>
              <w:kinsoku/>
              <w:wordWrap/>
              <w:overflowPunct/>
              <w:topLinePunct/>
              <w:autoSpaceDE/>
              <w:autoSpaceDN/>
              <w:bidi w:val="0"/>
              <w:adjustRightInd/>
              <w:snapToGrid/>
              <w:spacing w:line="36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实施方案要求</w:t>
            </w:r>
          </w:p>
          <w:p w14:paraId="2700827D">
            <w:pPr>
              <w:pageBreakBefore w:val="0"/>
              <w:widowControl w:val="0"/>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供应商应基于前述工作背景及设计方案内容，</w:t>
            </w:r>
            <w:r>
              <w:rPr>
                <w:rFonts w:hint="eastAsia" w:asciiTheme="minorEastAsia" w:hAnsiTheme="minorEastAsia" w:eastAsiaTheme="minorEastAsia" w:cstheme="minorEastAsia"/>
                <w:color w:val="auto"/>
                <w:sz w:val="24"/>
                <w:szCs w:val="24"/>
                <w:highlight w:val="none"/>
              </w:rPr>
              <w:t>提供详细、完善、可行性强的落地实施方案，实施方案应包括实施计划、资源配置、进度管控、质量保证，确保各项工作能够按计划有效落地执行。</w:t>
            </w:r>
          </w:p>
          <w:p w14:paraId="288F86E4">
            <w:pPr>
              <w:pStyle w:val="10"/>
              <w:pageBreakBefore w:val="0"/>
              <w:widowControl w:val="0"/>
              <w:kinsoku/>
              <w:wordWrap/>
              <w:overflowPunct/>
              <w:autoSpaceDE/>
              <w:autoSpaceDN/>
              <w:bidi w:val="0"/>
              <w:adjustRightInd/>
              <w:snapToGrid/>
              <w:spacing w:after="0" w:line="360" w:lineRule="auto"/>
              <w:ind w:left="0" w:leftChars="0" w:right="0" w:rightChars="0" w:firstLine="482" w:firstLineChars="200"/>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项目服务要求</w:t>
            </w:r>
          </w:p>
          <w:p w14:paraId="5B1BAEFB">
            <w:pPr>
              <w:pStyle w:val="1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根据本项目的技术服务要求，分类提供包含以下</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部分的具体服务：</w:t>
            </w:r>
          </w:p>
          <w:p w14:paraId="505730B1">
            <w:pPr>
              <w:pStyle w:val="1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提供DRG系统切换服务，完成</w:t>
            </w:r>
            <w:r>
              <w:rPr>
                <w:rFonts w:hint="eastAsia" w:asciiTheme="minorEastAsia" w:hAnsiTheme="minorEastAsia" w:eastAsiaTheme="minorEastAsia" w:cstheme="minorEastAsia"/>
                <w:color w:val="auto"/>
                <w:sz w:val="24"/>
                <w:szCs w:val="24"/>
                <w:highlight w:val="none"/>
                <w:lang w:val="en-US" w:eastAsia="zh-CN"/>
              </w:rPr>
              <w:t>太原市</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系统向省平台切换工作，</w:t>
            </w:r>
            <w:r>
              <w:rPr>
                <w:rFonts w:hint="eastAsia" w:asciiTheme="minorEastAsia" w:hAnsiTheme="minorEastAsia" w:eastAsiaTheme="minorEastAsia" w:cstheme="minorEastAsia"/>
                <w:color w:val="auto"/>
                <w:sz w:val="24"/>
                <w:szCs w:val="24"/>
                <w:highlight w:val="none"/>
                <w:lang w:val="en-US" w:eastAsia="zh-CN"/>
              </w:rPr>
              <w:t>并做好历史数据迁移工作，</w:t>
            </w:r>
            <w:r>
              <w:rPr>
                <w:rFonts w:hint="eastAsia" w:asciiTheme="minorEastAsia" w:hAnsiTheme="minorEastAsia" w:eastAsiaTheme="minorEastAsia" w:cstheme="minorEastAsia"/>
                <w:color w:val="auto"/>
                <w:sz w:val="24"/>
                <w:szCs w:val="24"/>
                <w:highlight w:val="none"/>
              </w:rPr>
              <w:t>采用国家</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方式管理模块开展</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相关经办业务。</w:t>
            </w:r>
          </w:p>
          <w:p w14:paraId="46807A3F">
            <w:pPr>
              <w:pStyle w:val="1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提供支付改革技术支撑服务</w:t>
            </w:r>
            <w:r>
              <w:rPr>
                <w:rFonts w:hint="eastAsia" w:asciiTheme="minorEastAsia" w:hAnsiTheme="minorEastAsia" w:eastAsiaTheme="minorEastAsia" w:cstheme="minorEastAsia"/>
                <w:color w:val="auto"/>
                <w:sz w:val="24"/>
                <w:szCs w:val="24"/>
                <w:highlight w:val="none"/>
                <w:lang w:val="en-US" w:eastAsia="zh-CN"/>
              </w:rPr>
              <w:t>，协助完善DRG付费改革规划设计，推动DRG分组的常态化、动态化调整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协助医保部门进一步扩大预付制覆盖范围，建立更为立体的多元化支付体系，提升医保基金使用效能。</w:t>
            </w:r>
          </w:p>
          <w:p w14:paraId="3F204856">
            <w:pPr>
              <w:pStyle w:val="1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3、提供</w:t>
            </w:r>
            <w:r>
              <w:rPr>
                <w:rFonts w:hint="eastAsia" w:asciiTheme="minorEastAsia" w:hAnsiTheme="minorEastAsia" w:eastAsiaTheme="minorEastAsia" w:cstheme="minorEastAsia"/>
                <w:color w:val="auto"/>
                <w:sz w:val="24"/>
                <w:szCs w:val="24"/>
                <w:highlight w:val="none"/>
              </w:rPr>
              <w:t>经办辅助服务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辅助医保经办机构开展日常DRG经办服务工作，提供数据质控、病例审核等服务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发挥好DRG付费特例单议、数据工作组、协商谈判、预付金、意见收集等配套工作机制作用</w:t>
            </w:r>
            <w:r>
              <w:rPr>
                <w:rFonts w:hint="eastAsia" w:asciiTheme="minorEastAsia" w:hAnsiTheme="minorEastAsia" w:eastAsiaTheme="minorEastAsia" w:cstheme="minorEastAsia"/>
                <w:color w:val="auto"/>
                <w:sz w:val="24"/>
                <w:szCs w:val="24"/>
                <w:highlight w:val="none"/>
                <w:lang w:eastAsia="zh-CN"/>
              </w:rPr>
              <w:t>。</w:t>
            </w:r>
          </w:p>
          <w:p w14:paraId="0F2D7339">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DRG系统切换服务</w:t>
            </w:r>
          </w:p>
          <w:p w14:paraId="06F23A32">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完成我市DRG付费系统向省平台切换工作，采用国家DRG付费方式管理模块开展DRG付费相关经办业务。切换工作主要包括</w:t>
            </w: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rPr>
              <w:t>方面工作：一是</w:t>
            </w:r>
            <w:r>
              <w:rPr>
                <w:rFonts w:hint="eastAsia" w:asciiTheme="minorEastAsia" w:hAnsiTheme="minorEastAsia" w:eastAsiaTheme="minorEastAsia" w:cstheme="minorEastAsia"/>
                <w:color w:val="auto"/>
                <w:sz w:val="24"/>
                <w:szCs w:val="24"/>
                <w:lang w:val="en-US" w:eastAsia="zh-CN"/>
              </w:rPr>
              <w:t>做好</w:t>
            </w:r>
            <w:r>
              <w:rPr>
                <w:rFonts w:hint="eastAsia" w:asciiTheme="minorEastAsia" w:hAnsiTheme="minorEastAsia" w:eastAsiaTheme="minorEastAsia" w:cstheme="minorEastAsia"/>
                <w:color w:val="auto"/>
                <w:sz w:val="24"/>
                <w:szCs w:val="24"/>
              </w:rPr>
              <w:t>需求分析</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通过调研梳理业务流程、DRG政策标准，形成经办规程和《DRG政策参数标准分析表》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二是</w:t>
            </w:r>
            <w:r>
              <w:rPr>
                <w:rFonts w:hint="eastAsia" w:asciiTheme="minorEastAsia" w:hAnsiTheme="minorEastAsia" w:eastAsiaTheme="minorEastAsia" w:cstheme="minorEastAsia"/>
                <w:color w:val="auto"/>
                <w:sz w:val="24"/>
                <w:szCs w:val="24"/>
                <w:lang w:val="en-US" w:eastAsia="zh-CN"/>
              </w:rPr>
              <w:t>做好</w:t>
            </w:r>
            <w:r>
              <w:rPr>
                <w:rFonts w:hint="eastAsia" w:asciiTheme="minorEastAsia" w:hAnsiTheme="minorEastAsia" w:eastAsiaTheme="minorEastAsia" w:cstheme="minorEastAsia"/>
                <w:color w:val="auto"/>
                <w:sz w:val="24"/>
                <w:szCs w:val="24"/>
              </w:rPr>
              <w:t>省DRG平台系统配置</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依据国家技术规范和本地政策，完成结算清单质控规则、DRG支付标准参数（病组、权重、费率等）、月度结算政策的配置，并通过模拟运行测试检验参数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三是</w:t>
            </w:r>
            <w:r>
              <w:rPr>
                <w:rFonts w:hint="eastAsia" w:asciiTheme="minorEastAsia" w:hAnsiTheme="minorEastAsia" w:eastAsiaTheme="minorEastAsia" w:cstheme="minorEastAsia"/>
                <w:color w:val="auto"/>
                <w:sz w:val="24"/>
                <w:szCs w:val="24"/>
                <w:lang w:val="en-US" w:eastAsia="zh-CN"/>
              </w:rPr>
              <w:t>做好</w:t>
            </w:r>
            <w:r>
              <w:rPr>
                <w:rFonts w:hint="eastAsia" w:asciiTheme="minorEastAsia" w:hAnsiTheme="minorEastAsia" w:eastAsiaTheme="minorEastAsia" w:cstheme="minorEastAsia"/>
                <w:color w:val="auto"/>
                <w:sz w:val="24"/>
                <w:szCs w:val="24"/>
              </w:rPr>
              <w:t>功能测试与校验</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验证结算流程流畅性和计算准确性（如病种权重、支付标准等），确保系统上线后稳定运行。</w:t>
            </w:r>
            <w:r>
              <w:rPr>
                <w:rFonts w:hint="eastAsia" w:asciiTheme="minorEastAsia" w:hAnsiTheme="minorEastAsia" w:eastAsiaTheme="minorEastAsia" w:cstheme="minorEastAsia"/>
                <w:color w:val="auto"/>
                <w:sz w:val="24"/>
                <w:szCs w:val="24"/>
                <w:lang w:val="en-US" w:eastAsia="zh-CN"/>
              </w:rPr>
              <w:t>四是做好历史数据迁移。完成</w:t>
            </w:r>
            <w:r>
              <w:rPr>
                <w:rFonts w:hint="eastAsia" w:asciiTheme="minorEastAsia" w:hAnsiTheme="minorEastAsia" w:eastAsiaTheme="minorEastAsia" w:cstheme="minorEastAsia"/>
                <w:color w:val="auto"/>
                <w:sz w:val="24"/>
                <w:szCs w:val="24"/>
                <w:highlight w:val="none"/>
                <w:lang w:val="en-US" w:eastAsia="zh-CN"/>
              </w:rPr>
              <w:t>原DRG付费系统历史</w:t>
            </w:r>
            <w:r>
              <w:rPr>
                <w:rFonts w:hint="eastAsia" w:asciiTheme="minorEastAsia" w:hAnsiTheme="minorEastAsia" w:eastAsiaTheme="minorEastAsia" w:cstheme="minorEastAsia"/>
                <w:color w:val="auto"/>
                <w:sz w:val="24"/>
                <w:szCs w:val="24"/>
                <w:highlight w:val="none"/>
              </w:rPr>
              <w:t>医保结算清单数据及对应的分组、结算等</w:t>
            </w:r>
            <w:r>
              <w:rPr>
                <w:rFonts w:hint="eastAsia" w:asciiTheme="minorEastAsia" w:hAnsiTheme="minorEastAsia" w:eastAsiaTheme="minorEastAsia" w:cstheme="minorEastAsia"/>
                <w:color w:val="auto"/>
                <w:sz w:val="24"/>
                <w:szCs w:val="24"/>
                <w:highlight w:val="none"/>
                <w:lang w:val="en-US" w:eastAsia="zh-CN"/>
              </w:rPr>
              <w:t>全量DRG付费</w:t>
            </w:r>
            <w:r>
              <w:rPr>
                <w:rFonts w:hint="eastAsia" w:asciiTheme="minorEastAsia" w:hAnsiTheme="minorEastAsia" w:eastAsiaTheme="minorEastAsia" w:cstheme="minorEastAsia"/>
                <w:color w:val="auto"/>
                <w:sz w:val="24"/>
                <w:szCs w:val="24"/>
                <w:highlight w:val="none"/>
              </w:rPr>
              <w:t>数据</w:t>
            </w:r>
            <w:r>
              <w:rPr>
                <w:rFonts w:hint="eastAsia" w:asciiTheme="minorEastAsia" w:hAnsiTheme="minorEastAsia" w:eastAsiaTheme="minorEastAsia" w:cstheme="minorEastAsia"/>
                <w:color w:val="auto"/>
                <w:sz w:val="24"/>
                <w:szCs w:val="24"/>
                <w:highlight w:val="none"/>
                <w:lang w:val="en-US" w:eastAsia="zh-CN"/>
              </w:rPr>
              <w:t>的迁移工作</w:t>
            </w:r>
            <w:r>
              <w:rPr>
                <w:rFonts w:hint="eastAsia" w:asciiTheme="minorEastAsia" w:hAnsiTheme="minorEastAsia" w:eastAsiaTheme="minorEastAsia" w:cstheme="minorEastAsia"/>
                <w:color w:val="auto"/>
                <w:sz w:val="24"/>
                <w:szCs w:val="24"/>
                <w:highlight w:val="none"/>
              </w:rPr>
              <w:t>，支持2025年月度结算和年终清算的历史关联问题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确保付费数据满足连续性运行分析要求</w:t>
            </w:r>
            <w:r>
              <w:rPr>
                <w:rFonts w:hint="eastAsia" w:asciiTheme="minorEastAsia" w:hAnsiTheme="minorEastAsia" w:eastAsiaTheme="minorEastAsia" w:cstheme="minorEastAsia"/>
                <w:color w:val="auto"/>
                <w:sz w:val="24"/>
                <w:szCs w:val="24"/>
                <w:highlight w:val="none"/>
              </w:rPr>
              <w:t>。</w:t>
            </w:r>
          </w:p>
          <w:p w14:paraId="7CD3EE30">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供应商应基于以上要求，提供相应的DRG系统切换服务方案，方案内容应包括切换需求分析、省DRG平台系统配置</w:t>
            </w:r>
            <w:r>
              <w:rPr>
                <w:rFonts w:hint="eastAsia" w:asciiTheme="minorEastAsia" w:hAnsiTheme="minorEastAsia" w:eastAsiaTheme="minorEastAsia" w:cstheme="minorEastAsia"/>
                <w:b w:val="0"/>
                <w:bCs w:val="0"/>
                <w:color w:val="auto"/>
                <w:sz w:val="24"/>
                <w:szCs w:val="24"/>
                <w:lang w:val="en-US" w:eastAsia="zh-CN"/>
              </w:rPr>
              <w:t>方案</w:t>
            </w:r>
            <w:r>
              <w:rPr>
                <w:rFonts w:hint="eastAsia" w:asciiTheme="minorEastAsia" w:hAnsiTheme="minorEastAsia" w:eastAsiaTheme="minorEastAsia" w:cstheme="minorEastAsia"/>
                <w:b w:val="0"/>
                <w:bCs w:val="0"/>
                <w:color w:val="auto"/>
                <w:sz w:val="24"/>
                <w:szCs w:val="24"/>
              </w:rPr>
              <w:t>、功能测试与校验方案</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历史数据迁移方案</w:t>
            </w:r>
            <w:r>
              <w:rPr>
                <w:rFonts w:hint="eastAsia" w:asciiTheme="minorEastAsia" w:hAnsiTheme="minorEastAsia" w:eastAsiaTheme="minorEastAsia" w:cstheme="minorEastAsia"/>
                <w:b w:val="0"/>
                <w:bCs w:val="0"/>
                <w:color w:val="auto"/>
                <w:sz w:val="24"/>
                <w:szCs w:val="24"/>
              </w:rPr>
              <w:t>等。</w:t>
            </w:r>
          </w:p>
          <w:p w14:paraId="086090FA">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支付改革技术支撑服务</w:t>
            </w:r>
          </w:p>
          <w:p w14:paraId="50CD2F22">
            <w:pPr>
              <w:pStyle w:val="42"/>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医保支付方式改革项目的数据及政策调优工作主要包括</w:t>
            </w: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个方面：一是历史数据采集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依据国家结算清单标准，统一数据格式并确保采集质量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二是数据标化治理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按照医保编码规范清洗数据，形成标准化基础数据并反馈问题</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三是分组测算调优</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基于国家CHS-DRG 2.0方案调整本地细分组，建立动态调整机制并优化特殊病组设置</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四是支付标准测算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结合分组方案和基金情况优化DRG权重与费率，分医院等级设定调整系数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五是政策辅助调优。</w:t>
            </w:r>
            <w:r>
              <w:rPr>
                <w:rFonts w:hint="eastAsia" w:asciiTheme="minorEastAsia" w:hAnsiTheme="minorEastAsia" w:eastAsiaTheme="minorEastAsia" w:cstheme="minorEastAsia"/>
                <w:color w:val="auto"/>
                <w:sz w:val="24"/>
                <w:szCs w:val="24"/>
                <w:highlight w:val="none"/>
              </w:rPr>
              <w:t>协助医保部门根据</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相关</w:t>
            </w:r>
            <w:r>
              <w:rPr>
                <w:rFonts w:hint="eastAsia" w:asciiTheme="minorEastAsia" w:hAnsiTheme="minorEastAsia" w:eastAsiaTheme="minorEastAsia" w:cstheme="minorEastAsia"/>
                <w:color w:val="auto"/>
                <w:sz w:val="24"/>
                <w:szCs w:val="24"/>
                <w:highlight w:val="none"/>
                <w:lang w:val="en-US" w:eastAsia="zh-CN"/>
              </w:rPr>
              <w:t>新</w:t>
            </w:r>
            <w:r>
              <w:rPr>
                <w:rFonts w:hint="eastAsia" w:asciiTheme="minorEastAsia" w:hAnsiTheme="minorEastAsia" w:eastAsiaTheme="minorEastAsia" w:cstheme="minorEastAsia"/>
                <w:color w:val="auto"/>
                <w:sz w:val="24"/>
                <w:szCs w:val="24"/>
                <w:highlight w:val="none"/>
              </w:rPr>
              <w:t>政</w:t>
            </w:r>
            <w:r>
              <w:rPr>
                <w:rFonts w:hint="eastAsia" w:asciiTheme="minorEastAsia" w:hAnsiTheme="minorEastAsia" w:eastAsiaTheme="minorEastAsia" w:cstheme="minorEastAsia"/>
                <w:color w:val="auto"/>
                <w:sz w:val="24"/>
                <w:szCs w:val="24"/>
                <w:highlight w:val="none"/>
                <w:lang w:val="en-US" w:eastAsia="zh-CN"/>
              </w:rPr>
              <w:t>和工作要求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结合</w:t>
            </w:r>
            <w:r>
              <w:rPr>
                <w:rFonts w:hint="eastAsia" w:asciiTheme="minorEastAsia" w:hAnsiTheme="minorEastAsia" w:eastAsiaTheme="minorEastAsia" w:cstheme="minorEastAsia"/>
                <w:color w:val="auto"/>
                <w:sz w:val="24"/>
                <w:szCs w:val="24"/>
                <w:highlight w:val="none"/>
                <w:lang w:val="en-US" w:eastAsia="zh-CN"/>
              </w:rPr>
              <w:t>太原市</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rPr>
              <w:t>运行实际，</w:t>
            </w:r>
            <w:r>
              <w:rPr>
                <w:rFonts w:hint="eastAsia" w:asciiTheme="minorEastAsia" w:hAnsiTheme="minorEastAsia" w:eastAsiaTheme="minorEastAsia" w:cstheme="minorEastAsia"/>
                <w:color w:val="auto"/>
                <w:sz w:val="24"/>
                <w:szCs w:val="24"/>
                <w:highlight w:val="none"/>
                <w:lang w:val="en-US" w:eastAsia="zh-CN"/>
              </w:rPr>
              <w:t>研究完善</w:t>
            </w:r>
            <w:r>
              <w:rPr>
                <w:rFonts w:hint="eastAsia" w:asciiTheme="minorEastAsia" w:hAnsiTheme="minorEastAsia" w:eastAsiaTheme="minorEastAsia" w:cstheme="minorEastAsia"/>
                <w:color w:val="auto"/>
                <w:sz w:val="24"/>
                <w:szCs w:val="24"/>
                <w:highlight w:val="none"/>
                <w:lang w:eastAsia="zh-CN"/>
              </w:rPr>
              <w:t>DRG付费</w:t>
            </w:r>
            <w:r>
              <w:rPr>
                <w:rFonts w:hint="eastAsia" w:asciiTheme="minorEastAsia" w:hAnsiTheme="minorEastAsia" w:eastAsiaTheme="minorEastAsia" w:cstheme="minorEastAsia"/>
                <w:color w:val="auto"/>
                <w:sz w:val="24"/>
                <w:szCs w:val="24"/>
                <w:highlight w:val="none"/>
                <w:lang w:val="en-US" w:eastAsia="zh-CN"/>
              </w:rPr>
              <w:t>有关政策及配套工作机制；</w:t>
            </w:r>
            <w:r>
              <w:rPr>
                <w:rFonts w:hint="eastAsia" w:asciiTheme="minorEastAsia" w:hAnsiTheme="minorEastAsia" w:eastAsiaTheme="minorEastAsia" w:cstheme="minorEastAsia"/>
                <w:color w:val="auto"/>
                <w:sz w:val="24"/>
                <w:szCs w:val="24"/>
                <w:highlight w:val="none"/>
              </w:rPr>
              <w:t>协助医保</w:t>
            </w:r>
            <w:r>
              <w:rPr>
                <w:rFonts w:hint="eastAsia" w:asciiTheme="minorEastAsia" w:hAnsiTheme="minorEastAsia" w:eastAsiaTheme="minorEastAsia" w:cstheme="minorEastAsia"/>
                <w:color w:val="auto"/>
                <w:sz w:val="24"/>
                <w:szCs w:val="24"/>
                <w:highlight w:val="none"/>
                <w:lang w:val="en-US" w:eastAsia="zh-CN"/>
              </w:rPr>
              <w:t>部门评估并</w:t>
            </w:r>
            <w:r>
              <w:rPr>
                <w:rFonts w:hint="eastAsia" w:asciiTheme="minorEastAsia" w:hAnsiTheme="minorEastAsia" w:eastAsiaTheme="minorEastAsia" w:cstheme="minorEastAsia"/>
                <w:color w:val="auto"/>
                <w:sz w:val="24"/>
                <w:szCs w:val="24"/>
                <w:highlight w:val="none"/>
              </w:rPr>
              <w:t>优化康复病例、精神疾病等</w:t>
            </w:r>
            <w:r>
              <w:rPr>
                <w:rFonts w:hint="eastAsia" w:asciiTheme="minorEastAsia" w:hAnsiTheme="minorEastAsia" w:eastAsiaTheme="minorEastAsia" w:cstheme="minorEastAsia"/>
                <w:color w:val="auto"/>
                <w:sz w:val="24"/>
                <w:szCs w:val="24"/>
                <w:highlight w:val="none"/>
                <w:lang w:val="en-US" w:eastAsia="zh-CN"/>
              </w:rPr>
              <w:t>长期住院</w:t>
            </w:r>
            <w:r>
              <w:rPr>
                <w:rFonts w:hint="eastAsia" w:asciiTheme="minorEastAsia" w:hAnsiTheme="minorEastAsia" w:eastAsiaTheme="minorEastAsia" w:cstheme="minorEastAsia"/>
                <w:color w:val="auto"/>
                <w:sz w:val="24"/>
                <w:szCs w:val="24"/>
                <w:highlight w:val="none"/>
              </w:rPr>
              <w:t>病例的</w:t>
            </w:r>
            <w:r>
              <w:rPr>
                <w:rFonts w:hint="eastAsia" w:asciiTheme="minorEastAsia" w:hAnsiTheme="minorEastAsia" w:eastAsiaTheme="minorEastAsia" w:cstheme="minorEastAsia"/>
                <w:color w:val="auto"/>
                <w:sz w:val="24"/>
                <w:szCs w:val="24"/>
                <w:highlight w:val="none"/>
                <w:lang w:val="en-US" w:eastAsia="zh-CN"/>
              </w:rPr>
              <w:t>按</w:t>
            </w:r>
            <w:r>
              <w:rPr>
                <w:rFonts w:hint="eastAsia" w:asciiTheme="minorEastAsia" w:hAnsiTheme="minorEastAsia" w:eastAsiaTheme="minorEastAsia" w:cstheme="minorEastAsia"/>
                <w:color w:val="auto"/>
                <w:sz w:val="24"/>
                <w:szCs w:val="24"/>
                <w:highlight w:val="none"/>
              </w:rPr>
              <w:t>床日付费</w:t>
            </w:r>
            <w:r>
              <w:rPr>
                <w:rFonts w:hint="eastAsia" w:asciiTheme="minorEastAsia" w:hAnsiTheme="minorEastAsia" w:eastAsiaTheme="minorEastAsia" w:cstheme="minorEastAsia"/>
                <w:color w:val="auto"/>
                <w:sz w:val="24"/>
                <w:szCs w:val="24"/>
                <w:highlight w:val="none"/>
                <w:lang w:val="en-US" w:eastAsia="zh-CN"/>
              </w:rPr>
              <w:t>办法以及县域医疗集团打包付费办法，研究制定中医优势病种按病种付费办法，并积极探索建立门诊费用总额预付管理办法。</w:t>
            </w:r>
          </w:p>
          <w:p w14:paraId="667FAA10">
            <w:pPr>
              <w:pageBreakBefore w:val="0"/>
              <w:widowControl w:val="0"/>
              <w:kinsoku/>
              <w:wordWrap/>
              <w:overflowPunct/>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rPr>
              <w:t>供应商应基于以上要求，提供相应的</w:t>
            </w:r>
            <w:r>
              <w:rPr>
                <w:rFonts w:hint="eastAsia" w:asciiTheme="minorEastAsia" w:hAnsiTheme="minorEastAsia" w:eastAsiaTheme="minorEastAsia" w:cstheme="minorEastAsia"/>
                <w:b w:val="0"/>
                <w:bCs w:val="0"/>
                <w:color w:val="auto"/>
                <w:sz w:val="24"/>
                <w:szCs w:val="24"/>
                <w:lang w:val="en-US" w:eastAsia="zh-CN"/>
              </w:rPr>
              <w:t>DRG付费</w:t>
            </w:r>
            <w:r>
              <w:rPr>
                <w:rFonts w:hint="eastAsia" w:asciiTheme="minorEastAsia" w:hAnsiTheme="minorEastAsia" w:eastAsiaTheme="minorEastAsia" w:cstheme="minorEastAsia"/>
                <w:b w:val="0"/>
                <w:bCs w:val="0"/>
                <w:color w:val="auto"/>
                <w:sz w:val="24"/>
                <w:szCs w:val="24"/>
              </w:rPr>
              <w:t>技术支撑服务方案，方案内容应包括历史数据采集、数据标化治理、分组测算调优、支付标准测算方案</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政策辅助调优</w:t>
            </w:r>
            <w:r>
              <w:rPr>
                <w:rFonts w:hint="eastAsia" w:asciiTheme="minorEastAsia" w:hAnsiTheme="minorEastAsia" w:eastAsiaTheme="minorEastAsia" w:cstheme="minorEastAsia"/>
                <w:b w:val="0"/>
                <w:bCs w:val="0"/>
                <w:color w:val="auto"/>
                <w:sz w:val="24"/>
                <w:szCs w:val="24"/>
                <w:lang w:val="en-US" w:eastAsia="zh-CN"/>
              </w:rPr>
              <w:t>方案</w:t>
            </w:r>
            <w:r>
              <w:rPr>
                <w:rFonts w:hint="eastAsia" w:asciiTheme="minorEastAsia" w:hAnsiTheme="minorEastAsia" w:eastAsiaTheme="minorEastAsia" w:cstheme="minorEastAsia"/>
                <w:b w:val="0"/>
                <w:bCs w:val="0"/>
                <w:color w:val="auto"/>
                <w:sz w:val="24"/>
                <w:szCs w:val="24"/>
              </w:rPr>
              <w:t>等</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长期住院病例按床日付费、县域医疗集团打包付费、中医优势病种按病种付费、门诊总额预付管理提供付费办法设计以及可行性分析</w:t>
            </w:r>
            <w:r>
              <w:rPr>
                <w:rFonts w:hint="eastAsia" w:asciiTheme="minorEastAsia" w:hAnsiTheme="minorEastAsia" w:eastAsiaTheme="minorEastAsia" w:cstheme="minorEastAsia"/>
                <w:b w:val="0"/>
                <w:bCs w:val="0"/>
                <w:color w:val="auto"/>
                <w:sz w:val="24"/>
                <w:szCs w:val="24"/>
              </w:rPr>
              <w:t>。</w:t>
            </w:r>
          </w:p>
          <w:p w14:paraId="3467D4FB">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DRG日常经办辅助服务</w:t>
            </w:r>
          </w:p>
          <w:p w14:paraId="3D394F42">
            <w:pPr>
              <w:pStyle w:val="10"/>
              <w:pageBreakBefore w:val="0"/>
              <w:widowControl w:val="0"/>
              <w:kinsoku/>
              <w:wordWrap/>
              <w:overflowPunct/>
              <w:autoSpaceDE/>
              <w:autoSpaceDN/>
              <w:bidi w:val="0"/>
              <w:adjustRightInd/>
              <w:snapToGrid/>
              <w:spacing w:after="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医保支付方式改革的日常运营工作主要包括七个方面：一是数据采集日常质控</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通过系统+人工方式每日审核结算清单，督促医院整改问题数据</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二是病例分组审核反馈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协助医保</w:t>
            </w:r>
            <w:r>
              <w:rPr>
                <w:rFonts w:hint="eastAsia" w:asciiTheme="minorEastAsia" w:hAnsiTheme="minorEastAsia" w:eastAsiaTheme="minorEastAsia" w:cstheme="minorEastAsia"/>
                <w:color w:val="auto"/>
                <w:sz w:val="24"/>
                <w:szCs w:val="24"/>
                <w:lang w:val="en-US" w:eastAsia="zh-CN"/>
              </w:rPr>
              <w:t>经办</w:t>
            </w:r>
            <w:r>
              <w:rPr>
                <w:rFonts w:hint="eastAsia" w:asciiTheme="minorEastAsia" w:hAnsiTheme="minorEastAsia" w:eastAsiaTheme="minorEastAsia" w:cstheme="minorEastAsia"/>
                <w:color w:val="auto"/>
                <w:sz w:val="24"/>
                <w:szCs w:val="24"/>
              </w:rPr>
              <w:t>每月审核诊断与手术编码的合理性，抽检分组结果并受理医院调整申请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三是月度DRG基金结算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协助医保经办完成月度结算、对账及审核</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四是</w:t>
            </w:r>
            <w:r>
              <w:rPr>
                <w:rFonts w:hint="eastAsia" w:asciiTheme="minorEastAsia" w:hAnsiTheme="minorEastAsia" w:eastAsiaTheme="minorEastAsia" w:cstheme="minorEastAsia"/>
                <w:color w:val="auto"/>
                <w:sz w:val="24"/>
                <w:szCs w:val="24"/>
                <w:lang w:val="en-US" w:eastAsia="zh-CN"/>
              </w:rPr>
              <w:t>运行配套工作机制。</w:t>
            </w:r>
            <w:r>
              <w:rPr>
                <w:rFonts w:hint="eastAsia" w:asciiTheme="minorEastAsia" w:hAnsiTheme="minorEastAsia" w:eastAsiaTheme="minorEastAsia" w:cstheme="minorEastAsia"/>
                <w:color w:val="auto"/>
                <w:sz w:val="24"/>
                <w:szCs w:val="24"/>
              </w:rPr>
              <w:t>协助</w:t>
            </w:r>
            <w:r>
              <w:rPr>
                <w:rFonts w:hint="eastAsia" w:asciiTheme="minorEastAsia" w:hAnsiTheme="minorEastAsia" w:eastAsiaTheme="minorEastAsia" w:cstheme="minorEastAsia"/>
                <w:color w:val="auto"/>
                <w:sz w:val="24"/>
                <w:szCs w:val="24"/>
                <w:lang w:val="en-US" w:eastAsia="zh-CN"/>
              </w:rPr>
              <w:t>医保经办做好特病单议</w:t>
            </w:r>
            <w:r>
              <w:rPr>
                <w:rFonts w:hint="eastAsia" w:asciiTheme="minorEastAsia" w:hAnsiTheme="minorEastAsia" w:eastAsiaTheme="minorEastAsia" w:cstheme="minorEastAsia"/>
                <w:color w:val="auto"/>
                <w:sz w:val="24"/>
                <w:szCs w:val="24"/>
                <w:highlight w:val="none"/>
                <w:lang w:val="en-US" w:eastAsia="zh-CN"/>
              </w:rPr>
              <w:t>、数据工作组、协商谈判、预付金、意见收集等配套工作机制运行，完善并发挥配套工作机制作用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rPr>
              <w:t>五是DRG付费年终清算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拟定清算方案并协助完成年度基金测算与反馈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六是定期数据运行分析</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按季度、年度生成基金运行报告，分析绩效指标与医院盈亏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七是DRG专项业务培训</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组织病案编码、结算政策等</w:t>
            </w:r>
            <w:r>
              <w:rPr>
                <w:rFonts w:hint="eastAsia" w:asciiTheme="minorEastAsia" w:hAnsiTheme="minorEastAsia" w:eastAsiaTheme="minorEastAsia" w:cstheme="minorEastAsia"/>
                <w:color w:val="auto"/>
                <w:sz w:val="24"/>
                <w:szCs w:val="24"/>
                <w:lang w:val="en-US" w:eastAsia="zh-CN"/>
              </w:rPr>
              <w:t>DRG付费</w:t>
            </w:r>
            <w:r>
              <w:rPr>
                <w:rFonts w:hint="eastAsia" w:asciiTheme="minorEastAsia" w:hAnsiTheme="minorEastAsia" w:eastAsiaTheme="minorEastAsia" w:cstheme="minorEastAsia"/>
                <w:color w:val="auto"/>
                <w:sz w:val="24"/>
                <w:szCs w:val="24"/>
              </w:rPr>
              <w:t>培训，提升医保及医疗机构业务能力。</w:t>
            </w:r>
          </w:p>
          <w:p w14:paraId="130FCD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kern w:val="2"/>
                <w:sz w:val="21"/>
                <w:szCs w:val="24"/>
                <w:highlight w:val="none"/>
                <w:lang w:val="en-US" w:eastAsia="zh-CN" w:bidi="ar-SA"/>
              </w:rPr>
            </w:pPr>
            <w:r>
              <w:rPr>
                <w:rFonts w:hint="eastAsia" w:asciiTheme="minorEastAsia" w:hAnsiTheme="minorEastAsia" w:eastAsiaTheme="minorEastAsia" w:cstheme="minorEastAsia"/>
                <w:b w:val="0"/>
                <w:bCs w:val="0"/>
                <w:color w:val="auto"/>
                <w:sz w:val="24"/>
                <w:szCs w:val="24"/>
              </w:rPr>
              <w:t>供应商应基于以上要求，提供相应的DRG日常经办辅助服务，方案内容应包括数据采集日常质控、病例分组审核反馈、月度DRG基金结算、协助组织特殊病例筛查审核、DRG付费年终清算、定期数据运行分析、DRG专项业务培训等。</w:t>
            </w:r>
          </w:p>
        </w:tc>
        <w:tc>
          <w:tcPr>
            <w:tcW w:w="3033" w:type="dxa"/>
            <w:tcBorders>
              <w:top w:val="single" w:color="000000" w:sz="6" w:space="0"/>
              <w:left w:val="single" w:color="000000" w:sz="6" w:space="0"/>
              <w:bottom w:val="single" w:color="000000" w:sz="6" w:space="0"/>
              <w:right w:val="single" w:color="000000" w:sz="6" w:space="0"/>
            </w:tcBorders>
            <w:vAlign w:val="center"/>
          </w:tcPr>
          <w:p w14:paraId="1907DE5B">
            <w:pPr>
              <w:keepNext w:val="0"/>
              <w:keepLines w:val="0"/>
              <w:pageBreakBefore w:val="0"/>
              <w:widowControl w:val="0"/>
              <w:kinsoku/>
              <w:wordWrap w:val="0"/>
              <w:overflowPunct/>
              <w:topLinePunct/>
              <w:autoSpaceDE/>
              <w:autoSpaceDN/>
              <w:bidi w:val="0"/>
              <w:adjustRightInd w:val="0"/>
              <w:snapToGrid w:val="0"/>
              <w:spacing w:line="400" w:lineRule="exact"/>
              <w:jc w:val="center"/>
              <w:rPr>
                <w:kern w:val="0"/>
                <w:sz w:val="24"/>
                <w:highlight w:val="none"/>
              </w:rPr>
            </w:pPr>
          </w:p>
        </w:tc>
        <w:tc>
          <w:tcPr>
            <w:tcW w:w="1033" w:type="dxa"/>
            <w:tcBorders>
              <w:top w:val="single" w:color="000000" w:sz="6" w:space="0"/>
              <w:left w:val="single" w:color="000000" w:sz="6" w:space="0"/>
              <w:bottom w:val="single" w:color="000000" w:sz="6" w:space="0"/>
              <w:right w:val="single" w:color="000000" w:sz="6" w:space="0"/>
            </w:tcBorders>
            <w:vAlign w:val="center"/>
          </w:tcPr>
          <w:p w14:paraId="4170999A">
            <w:pPr>
              <w:keepNext w:val="0"/>
              <w:keepLines w:val="0"/>
              <w:pageBreakBefore w:val="0"/>
              <w:widowControl w:val="0"/>
              <w:kinsoku/>
              <w:wordWrap w:val="0"/>
              <w:overflowPunct/>
              <w:topLinePunct/>
              <w:autoSpaceDE/>
              <w:autoSpaceDN/>
              <w:bidi w:val="0"/>
              <w:adjustRightInd w:val="0"/>
              <w:snapToGrid w:val="0"/>
              <w:spacing w:line="400" w:lineRule="exact"/>
              <w:jc w:val="center"/>
              <w:rPr>
                <w:kern w:val="0"/>
                <w:sz w:val="24"/>
                <w:highlight w:val="none"/>
              </w:rPr>
            </w:pPr>
          </w:p>
        </w:tc>
        <w:tc>
          <w:tcPr>
            <w:tcW w:w="774" w:type="dxa"/>
            <w:tcBorders>
              <w:top w:val="single" w:color="000000" w:sz="6" w:space="0"/>
              <w:left w:val="single" w:color="000000" w:sz="6" w:space="0"/>
              <w:bottom w:val="single" w:color="000000" w:sz="6" w:space="0"/>
              <w:right w:val="single" w:color="000000" w:sz="6" w:space="0"/>
            </w:tcBorders>
            <w:vAlign w:val="center"/>
          </w:tcPr>
          <w:p w14:paraId="602E057D">
            <w:pPr>
              <w:keepNext w:val="0"/>
              <w:keepLines w:val="0"/>
              <w:pageBreakBefore w:val="0"/>
              <w:widowControl w:val="0"/>
              <w:kinsoku/>
              <w:wordWrap w:val="0"/>
              <w:overflowPunct/>
              <w:topLinePunct/>
              <w:autoSpaceDE/>
              <w:autoSpaceDN/>
              <w:bidi w:val="0"/>
              <w:adjustRightInd w:val="0"/>
              <w:snapToGrid w:val="0"/>
              <w:spacing w:line="400" w:lineRule="exact"/>
              <w:jc w:val="center"/>
              <w:rPr>
                <w:kern w:val="0"/>
                <w:sz w:val="24"/>
                <w:highlight w:val="none"/>
              </w:rPr>
            </w:pPr>
          </w:p>
        </w:tc>
      </w:tr>
    </w:tbl>
    <w:p w14:paraId="59D76693">
      <w:pPr>
        <w:keepNext w:val="0"/>
        <w:keepLines w:val="0"/>
        <w:pageBreakBefore w:val="0"/>
        <w:widowControl w:val="0"/>
        <w:kinsoku/>
        <w:overflowPunct/>
        <w:topLinePunct/>
        <w:bidi w:val="0"/>
        <w:snapToGrid w:val="0"/>
        <w:spacing w:line="600" w:lineRule="exact"/>
        <w:ind w:firstLine="480"/>
        <w:jc w:val="left"/>
        <w:rPr>
          <w:kern w:val="0"/>
          <w:sz w:val="24"/>
          <w:highlight w:val="none"/>
        </w:rPr>
      </w:pPr>
    </w:p>
    <w:p w14:paraId="6CCA44F5">
      <w:pPr>
        <w:keepNext w:val="0"/>
        <w:keepLines w:val="0"/>
        <w:pageBreakBefore w:val="0"/>
        <w:widowControl w:val="0"/>
        <w:kinsoku/>
        <w:overflowPunct/>
        <w:topLinePunct/>
        <w:bidi w:val="0"/>
        <w:snapToGrid w:val="0"/>
        <w:spacing w:line="600" w:lineRule="exact"/>
        <w:ind w:firstLine="480"/>
        <w:jc w:val="left"/>
        <w:rPr>
          <w:kern w:val="0"/>
          <w:sz w:val="24"/>
          <w:highlight w:val="none"/>
        </w:rPr>
      </w:pPr>
    </w:p>
    <w:p w14:paraId="3F24A521">
      <w:pPr>
        <w:keepNext w:val="0"/>
        <w:keepLines w:val="0"/>
        <w:pageBreakBefore w:val="0"/>
        <w:widowControl w:val="0"/>
        <w:tabs>
          <w:tab w:val="left" w:pos="4000"/>
        </w:tabs>
        <w:kinsoku/>
        <w:overflowPunct/>
        <w:topLinePunct/>
        <w:bidi w:val="0"/>
        <w:snapToGrid w:val="0"/>
        <w:spacing w:line="480" w:lineRule="auto"/>
        <w:ind w:firstLine="3120" w:firstLineChars="1300"/>
        <w:jc w:val="left"/>
        <w:rPr>
          <w:kern w:val="0"/>
          <w:sz w:val="24"/>
          <w:highlight w:val="none"/>
        </w:rPr>
      </w:pPr>
      <w:r>
        <w:rPr>
          <w:rFonts w:hint="eastAsia"/>
          <w:kern w:val="0"/>
          <w:sz w:val="24"/>
          <w:highlight w:val="none"/>
        </w:rPr>
        <w:t>投标人</w:t>
      </w:r>
      <w:r>
        <w:rPr>
          <w:kern w:val="0"/>
          <w:sz w:val="24"/>
          <w:highlight w:val="none"/>
        </w:rPr>
        <w:t>名称：</w:t>
      </w:r>
      <w:r>
        <w:rPr>
          <w:kern w:val="0"/>
          <w:sz w:val="24"/>
          <w:highlight w:val="none"/>
          <w:u w:val="single"/>
        </w:rPr>
        <w:t xml:space="preserve">                       </w:t>
      </w:r>
      <w:r>
        <w:rPr>
          <w:rFonts w:hint="eastAsia"/>
          <w:kern w:val="0"/>
          <w:sz w:val="24"/>
          <w:highlight w:val="none"/>
        </w:rPr>
        <w:t>（</w:t>
      </w:r>
      <w:r>
        <w:rPr>
          <w:kern w:val="0"/>
          <w:sz w:val="24"/>
          <w:highlight w:val="none"/>
        </w:rPr>
        <w:t>盖章</w:t>
      </w:r>
      <w:r>
        <w:rPr>
          <w:rFonts w:hint="eastAsia"/>
          <w:kern w:val="0"/>
          <w:sz w:val="24"/>
          <w:highlight w:val="none"/>
        </w:rPr>
        <w:t>）</w:t>
      </w:r>
    </w:p>
    <w:p w14:paraId="1A59F7F0">
      <w:pPr>
        <w:keepNext w:val="0"/>
        <w:keepLines w:val="0"/>
        <w:pageBreakBefore w:val="0"/>
        <w:widowControl w:val="0"/>
        <w:tabs>
          <w:tab w:val="left" w:pos="3760"/>
        </w:tabs>
        <w:kinsoku/>
        <w:overflowPunct/>
        <w:topLinePunct/>
        <w:bidi w:val="0"/>
        <w:snapToGrid w:val="0"/>
        <w:spacing w:line="480" w:lineRule="auto"/>
        <w:ind w:firstLine="3120" w:firstLineChars="1300"/>
        <w:jc w:val="left"/>
        <w:rPr>
          <w:kern w:val="0"/>
          <w:sz w:val="24"/>
          <w:highlight w:val="none"/>
        </w:rPr>
      </w:pPr>
      <w:r>
        <w:rPr>
          <w:rFonts w:hint="eastAsia"/>
          <w:kern w:val="0"/>
          <w:sz w:val="24"/>
          <w:highlight w:val="none"/>
        </w:rPr>
        <w:t>投标人</w:t>
      </w:r>
      <w:r>
        <w:rPr>
          <w:kern w:val="0"/>
          <w:sz w:val="24"/>
          <w:highlight w:val="none"/>
        </w:rPr>
        <w:t>授权代表：</w:t>
      </w:r>
      <w:r>
        <w:rPr>
          <w:kern w:val="0"/>
          <w:sz w:val="24"/>
          <w:highlight w:val="none"/>
          <w:u w:val="single"/>
        </w:rPr>
        <w:t xml:space="preserve">                </w:t>
      </w:r>
      <w:r>
        <w:rPr>
          <w:rFonts w:hint="eastAsia"/>
          <w:kern w:val="0"/>
          <w:sz w:val="24"/>
          <w:highlight w:val="none"/>
        </w:rPr>
        <w:t>（</w:t>
      </w:r>
      <w:r>
        <w:rPr>
          <w:kern w:val="0"/>
          <w:sz w:val="24"/>
          <w:highlight w:val="none"/>
        </w:rPr>
        <w:t>签字或盖章</w:t>
      </w:r>
      <w:r>
        <w:rPr>
          <w:rFonts w:hint="eastAsia"/>
          <w:kern w:val="0"/>
          <w:sz w:val="24"/>
          <w:highlight w:val="none"/>
        </w:rPr>
        <w:t>）</w:t>
      </w:r>
    </w:p>
    <w:p w14:paraId="76C879F7">
      <w:pPr>
        <w:keepNext w:val="0"/>
        <w:keepLines w:val="0"/>
        <w:pageBreakBefore w:val="0"/>
        <w:widowControl w:val="0"/>
        <w:kinsoku/>
        <w:overflowPunct/>
        <w:topLinePunct/>
        <w:bidi w:val="0"/>
        <w:snapToGrid w:val="0"/>
        <w:spacing w:line="480" w:lineRule="auto"/>
        <w:ind w:firstLine="3120" w:firstLineChars="1300"/>
        <w:rPr>
          <w:sz w:val="24"/>
          <w:highlight w:val="none"/>
        </w:rPr>
      </w:pPr>
      <w:r>
        <w:rPr>
          <w:sz w:val="24"/>
          <w:highlight w:val="none"/>
        </w:rPr>
        <w:t>日     期：</w:t>
      </w:r>
    </w:p>
    <w:p w14:paraId="20C9815C">
      <w:pPr>
        <w:keepNext w:val="0"/>
        <w:keepLines w:val="0"/>
        <w:pageBreakBefore w:val="0"/>
        <w:widowControl w:val="0"/>
        <w:kinsoku/>
        <w:overflowPunct/>
        <w:topLinePunct/>
        <w:bidi w:val="0"/>
        <w:adjustRightInd w:val="0"/>
        <w:snapToGrid w:val="0"/>
        <w:spacing w:line="360" w:lineRule="auto"/>
        <w:outlineLvl w:val="1"/>
        <w:rPr>
          <w:rFonts w:hint="eastAsia" w:ascii="宋体" w:hAnsi="宋体"/>
          <w:b/>
          <w:kern w:val="0"/>
          <w:sz w:val="24"/>
          <w:highlight w:val="none"/>
          <w:lang w:val="en-US" w:eastAsia="zh-CN"/>
        </w:rPr>
      </w:pPr>
      <w:r>
        <w:rPr>
          <w:b/>
          <w:spacing w:val="20"/>
          <w:kern w:val="0"/>
          <w:sz w:val="28"/>
          <w:szCs w:val="28"/>
          <w:highlight w:val="none"/>
        </w:rPr>
        <w:br w:type="page"/>
      </w:r>
      <w:bookmarkStart w:id="86" w:name="_Toc180347492"/>
      <w:r>
        <w:rPr>
          <w:rFonts w:ascii="宋体" w:hAnsi="宋体"/>
          <w:b/>
          <w:kern w:val="0"/>
          <w:sz w:val="24"/>
          <w:highlight w:val="none"/>
        </w:rPr>
        <w:t>7</w:t>
      </w:r>
      <w:r>
        <w:rPr>
          <w:rFonts w:hint="eastAsia" w:ascii="宋体" w:hAnsi="宋体"/>
          <w:b/>
          <w:kern w:val="0"/>
          <w:sz w:val="24"/>
          <w:highlight w:val="none"/>
        </w:rPr>
        <w:t>．</w:t>
      </w:r>
      <w:bookmarkEnd w:id="86"/>
      <w:bookmarkStart w:id="87" w:name="_Toc180347493"/>
      <w:r>
        <w:rPr>
          <w:rFonts w:hint="eastAsia" w:ascii="宋体" w:hAnsi="宋体"/>
          <w:b/>
          <w:kern w:val="0"/>
          <w:sz w:val="24"/>
          <w:highlight w:val="none"/>
          <w:lang w:val="en-US" w:eastAsia="zh-CN"/>
        </w:rPr>
        <w:t>投标人业绩</w:t>
      </w:r>
    </w:p>
    <w:bookmarkEnd w:id="87"/>
    <w:p w14:paraId="1E3A1418">
      <w:pPr>
        <w:keepNext w:val="0"/>
        <w:keepLines w:val="0"/>
        <w:pageBreakBefore w:val="0"/>
        <w:widowControl w:val="0"/>
        <w:kinsoku/>
        <w:overflowPunct/>
        <w:topLinePunct/>
        <w:bidi w:val="0"/>
        <w:spacing w:line="480" w:lineRule="exact"/>
        <w:ind w:firstLine="482"/>
        <w:jc w:val="center"/>
        <w:rPr>
          <w:b/>
          <w:sz w:val="28"/>
          <w:szCs w:val="28"/>
          <w:highlight w:val="none"/>
        </w:rPr>
      </w:pPr>
      <w:r>
        <w:rPr>
          <w:rFonts w:hint="eastAsia"/>
          <w:b/>
          <w:kern w:val="0"/>
          <w:sz w:val="24"/>
          <w:highlight w:val="none"/>
          <w:lang w:val="en-US" w:eastAsia="zh-CN"/>
        </w:rPr>
        <w:t>类似</w:t>
      </w:r>
      <w:r>
        <w:rPr>
          <w:b/>
          <w:kern w:val="0"/>
          <w:sz w:val="24"/>
          <w:highlight w:val="none"/>
        </w:rPr>
        <w:t>项目合同案例列表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5AE8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BA74E4E">
            <w:pPr>
              <w:keepNext w:val="0"/>
              <w:keepLines w:val="0"/>
              <w:pageBreakBefore w:val="0"/>
              <w:widowControl w:val="0"/>
              <w:kinsoku/>
              <w:overflowPunct/>
              <w:topLinePunct/>
              <w:bidi w:val="0"/>
              <w:adjustRightInd w:val="0"/>
              <w:snapToGrid w:val="0"/>
              <w:jc w:val="center"/>
              <w:rPr>
                <w:sz w:val="24"/>
                <w:highlight w:val="none"/>
              </w:rPr>
            </w:pPr>
            <w:r>
              <w:rPr>
                <w:sz w:val="24"/>
                <w:highlight w:val="none"/>
              </w:rPr>
              <w:t>使用单位</w:t>
            </w:r>
          </w:p>
        </w:tc>
        <w:tc>
          <w:tcPr>
            <w:tcW w:w="1560" w:type="dxa"/>
          </w:tcPr>
          <w:p w14:paraId="0528769D">
            <w:pPr>
              <w:keepNext w:val="0"/>
              <w:keepLines w:val="0"/>
              <w:pageBreakBefore w:val="0"/>
              <w:widowControl w:val="0"/>
              <w:kinsoku/>
              <w:overflowPunct/>
              <w:topLinePunct/>
              <w:bidi w:val="0"/>
              <w:adjustRightInd w:val="0"/>
              <w:snapToGrid w:val="0"/>
              <w:jc w:val="center"/>
              <w:rPr>
                <w:sz w:val="24"/>
                <w:highlight w:val="none"/>
              </w:rPr>
            </w:pPr>
            <w:r>
              <w:rPr>
                <w:sz w:val="24"/>
                <w:highlight w:val="none"/>
              </w:rPr>
              <w:t>项目名称</w:t>
            </w:r>
          </w:p>
        </w:tc>
        <w:tc>
          <w:tcPr>
            <w:tcW w:w="2076" w:type="dxa"/>
          </w:tcPr>
          <w:p w14:paraId="62629D35">
            <w:pPr>
              <w:keepNext w:val="0"/>
              <w:keepLines w:val="0"/>
              <w:pageBreakBefore w:val="0"/>
              <w:widowControl w:val="0"/>
              <w:kinsoku/>
              <w:overflowPunct/>
              <w:topLinePunct/>
              <w:bidi w:val="0"/>
              <w:adjustRightInd w:val="0"/>
              <w:snapToGrid w:val="0"/>
              <w:jc w:val="center"/>
              <w:rPr>
                <w:sz w:val="24"/>
                <w:highlight w:val="none"/>
              </w:rPr>
            </w:pPr>
            <w:r>
              <w:rPr>
                <w:sz w:val="24"/>
                <w:highlight w:val="none"/>
              </w:rPr>
              <w:t>合同金额</w:t>
            </w:r>
          </w:p>
        </w:tc>
        <w:tc>
          <w:tcPr>
            <w:tcW w:w="1431" w:type="dxa"/>
          </w:tcPr>
          <w:p w14:paraId="5FD2E143">
            <w:pPr>
              <w:keepNext w:val="0"/>
              <w:keepLines w:val="0"/>
              <w:pageBreakBefore w:val="0"/>
              <w:widowControl w:val="0"/>
              <w:kinsoku/>
              <w:overflowPunct/>
              <w:topLinePunct/>
              <w:bidi w:val="0"/>
              <w:adjustRightInd w:val="0"/>
              <w:snapToGrid w:val="0"/>
              <w:jc w:val="center"/>
              <w:rPr>
                <w:sz w:val="24"/>
                <w:highlight w:val="none"/>
              </w:rPr>
            </w:pPr>
            <w:r>
              <w:rPr>
                <w:sz w:val="24"/>
                <w:highlight w:val="none"/>
              </w:rPr>
              <w:t>联系人</w:t>
            </w:r>
          </w:p>
        </w:tc>
        <w:tc>
          <w:tcPr>
            <w:tcW w:w="1610" w:type="dxa"/>
          </w:tcPr>
          <w:p w14:paraId="16962B78">
            <w:pPr>
              <w:keepNext w:val="0"/>
              <w:keepLines w:val="0"/>
              <w:pageBreakBefore w:val="0"/>
              <w:widowControl w:val="0"/>
              <w:kinsoku/>
              <w:overflowPunct/>
              <w:topLinePunct/>
              <w:bidi w:val="0"/>
              <w:adjustRightInd w:val="0"/>
              <w:snapToGrid w:val="0"/>
              <w:jc w:val="center"/>
              <w:rPr>
                <w:sz w:val="24"/>
                <w:highlight w:val="none"/>
              </w:rPr>
            </w:pPr>
            <w:r>
              <w:rPr>
                <w:rFonts w:hint="eastAsia"/>
                <w:sz w:val="24"/>
                <w:highlight w:val="none"/>
              </w:rPr>
              <w:t>联系</w:t>
            </w:r>
            <w:r>
              <w:rPr>
                <w:sz w:val="24"/>
                <w:highlight w:val="none"/>
              </w:rPr>
              <w:t>电话</w:t>
            </w:r>
          </w:p>
        </w:tc>
        <w:tc>
          <w:tcPr>
            <w:tcW w:w="839" w:type="dxa"/>
          </w:tcPr>
          <w:p w14:paraId="079679CC">
            <w:pPr>
              <w:keepNext w:val="0"/>
              <w:keepLines w:val="0"/>
              <w:pageBreakBefore w:val="0"/>
              <w:widowControl w:val="0"/>
              <w:kinsoku/>
              <w:overflowPunct/>
              <w:topLinePunct/>
              <w:bidi w:val="0"/>
              <w:adjustRightInd w:val="0"/>
              <w:snapToGrid w:val="0"/>
              <w:jc w:val="center"/>
              <w:rPr>
                <w:sz w:val="24"/>
                <w:highlight w:val="none"/>
              </w:rPr>
            </w:pPr>
            <w:r>
              <w:rPr>
                <w:sz w:val="24"/>
                <w:highlight w:val="none"/>
              </w:rPr>
              <w:t>备注</w:t>
            </w:r>
          </w:p>
        </w:tc>
      </w:tr>
      <w:tr w14:paraId="0397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6446310">
            <w:pPr>
              <w:keepNext w:val="0"/>
              <w:keepLines w:val="0"/>
              <w:pageBreakBefore w:val="0"/>
              <w:widowControl w:val="0"/>
              <w:kinsoku/>
              <w:overflowPunct/>
              <w:topLinePunct/>
              <w:bidi w:val="0"/>
              <w:adjustRightInd w:val="0"/>
              <w:snapToGrid w:val="0"/>
              <w:rPr>
                <w:sz w:val="24"/>
                <w:highlight w:val="none"/>
              </w:rPr>
            </w:pPr>
          </w:p>
        </w:tc>
        <w:tc>
          <w:tcPr>
            <w:tcW w:w="1560" w:type="dxa"/>
          </w:tcPr>
          <w:p w14:paraId="5D5081F7">
            <w:pPr>
              <w:keepNext w:val="0"/>
              <w:keepLines w:val="0"/>
              <w:pageBreakBefore w:val="0"/>
              <w:widowControl w:val="0"/>
              <w:kinsoku/>
              <w:overflowPunct/>
              <w:topLinePunct/>
              <w:bidi w:val="0"/>
              <w:adjustRightInd w:val="0"/>
              <w:snapToGrid w:val="0"/>
              <w:rPr>
                <w:sz w:val="24"/>
                <w:highlight w:val="none"/>
              </w:rPr>
            </w:pPr>
          </w:p>
        </w:tc>
        <w:tc>
          <w:tcPr>
            <w:tcW w:w="2076" w:type="dxa"/>
          </w:tcPr>
          <w:p w14:paraId="2204A976">
            <w:pPr>
              <w:keepNext w:val="0"/>
              <w:keepLines w:val="0"/>
              <w:pageBreakBefore w:val="0"/>
              <w:widowControl w:val="0"/>
              <w:kinsoku/>
              <w:overflowPunct/>
              <w:topLinePunct/>
              <w:bidi w:val="0"/>
              <w:adjustRightInd w:val="0"/>
              <w:snapToGrid w:val="0"/>
              <w:rPr>
                <w:sz w:val="24"/>
                <w:highlight w:val="none"/>
              </w:rPr>
            </w:pPr>
          </w:p>
        </w:tc>
        <w:tc>
          <w:tcPr>
            <w:tcW w:w="1431" w:type="dxa"/>
          </w:tcPr>
          <w:p w14:paraId="69C9AB41">
            <w:pPr>
              <w:keepNext w:val="0"/>
              <w:keepLines w:val="0"/>
              <w:pageBreakBefore w:val="0"/>
              <w:widowControl w:val="0"/>
              <w:kinsoku/>
              <w:overflowPunct/>
              <w:topLinePunct/>
              <w:bidi w:val="0"/>
              <w:adjustRightInd w:val="0"/>
              <w:snapToGrid w:val="0"/>
              <w:rPr>
                <w:sz w:val="24"/>
                <w:highlight w:val="none"/>
              </w:rPr>
            </w:pPr>
          </w:p>
        </w:tc>
        <w:tc>
          <w:tcPr>
            <w:tcW w:w="1610" w:type="dxa"/>
          </w:tcPr>
          <w:p w14:paraId="4FF2D631">
            <w:pPr>
              <w:keepNext w:val="0"/>
              <w:keepLines w:val="0"/>
              <w:pageBreakBefore w:val="0"/>
              <w:widowControl w:val="0"/>
              <w:kinsoku/>
              <w:overflowPunct/>
              <w:topLinePunct/>
              <w:bidi w:val="0"/>
              <w:adjustRightInd w:val="0"/>
              <w:snapToGrid w:val="0"/>
              <w:rPr>
                <w:sz w:val="24"/>
                <w:highlight w:val="none"/>
              </w:rPr>
            </w:pPr>
          </w:p>
        </w:tc>
        <w:tc>
          <w:tcPr>
            <w:tcW w:w="839" w:type="dxa"/>
          </w:tcPr>
          <w:p w14:paraId="3D75EF6C">
            <w:pPr>
              <w:keepNext w:val="0"/>
              <w:keepLines w:val="0"/>
              <w:pageBreakBefore w:val="0"/>
              <w:widowControl w:val="0"/>
              <w:kinsoku/>
              <w:overflowPunct/>
              <w:topLinePunct/>
              <w:bidi w:val="0"/>
              <w:adjustRightInd w:val="0"/>
              <w:snapToGrid w:val="0"/>
              <w:rPr>
                <w:sz w:val="24"/>
                <w:highlight w:val="none"/>
              </w:rPr>
            </w:pPr>
          </w:p>
        </w:tc>
      </w:tr>
      <w:tr w14:paraId="1EE0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5331ED3">
            <w:pPr>
              <w:keepNext w:val="0"/>
              <w:keepLines w:val="0"/>
              <w:pageBreakBefore w:val="0"/>
              <w:widowControl w:val="0"/>
              <w:kinsoku/>
              <w:overflowPunct/>
              <w:topLinePunct/>
              <w:bidi w:val="0"/>
              <w:adjustRightInd w:val="0"/>
              <w:snapToGrid w:val="0"/>
              <w:rPr>
                <w:sz w:val="24"/>
                <w:highlight w:val="none"/>
              </w:rPr>
            </w:pPr>
          </w:p>
        </w:tc>
        <w:tc>
          <w:tcPr>
            <w:tcW w:w="1560" w:type="dxa"/>
          </w:tcPr>
          <w:p w14:paraId="6A5D9EEA">
            <w:pPr>
              <w:keepNext w:val="0"/>
              <w:keepLines w:val="0"/>
              <w:pageBreakBefore w:val="0"/>
              <w:widowControl w:val="0"/>
              <w:kinsoku/>
              <w:overflowPunct/>
              <w:topLinePunct/>
              <w:bidi w:val="0"/>
              <w:adjustRightInd w:val="0"/>
              <w:snapToGrid w:val="0"/>
              <w:rPr>
                <w:sz w:val="24"/>
                <w:highlight w:val="none"/>
              </w:rPr>
            </w:pPr>
          </w:p>
        </w:tc>
        <w:tc>
          <w:tcPr>
            <w:tcW w:w="2076" w:type="dxa"/>
          </w:tcPr>
          <w:p w14:paraId="2ECA878F">
            <w:pPr>
              <w:keepNext w:val="0"/>
              <w:keepLines w:val="0"/>
              <w:pageBreakBefore w:val="0"/>
              <w:widowControl w:val="0"/>
              <w:kinsoku/>
              <w:overflowPunct/>
              <w:topLinePunct/>
              <w:bidi w:val="0"/>
              <w:adjustRightInd w:val="0"/>
              <w:snapToGrid w:val="0"/>
              <w:rPr>
                <w:sz w:val="24"/>
                <w:highlight w:val="none"/>
              </w:rPr>
            </w:pPr>
          </w:p>
        </w:tc>
        <w:tc>
          <w:tcPr>
            <w:tcW w:w="1431" w:type="dxa"/>
          </w:tcPr>
          <w:p w14:paraId="2C3E3B05">
            <w:pPr>
              <w:keepNext w:val="0"/>
              <w:keepLines w:val="0"/>
              <w:pageBreakBefore w:val="0"/>
              <w:widowControl w:val="0"/>
              <w:kinsoku/>
              <w:overflowPunct/>
              <w:topLinePunct/>
              <w:bidi w:val="0"/>
              <w:adjustRightInd w:val="0"/>
              <w:snapToGrid w:val="0"/>
              <w:rPr>
                <w:sz w:val="24"/>
                <w:highlight w:val="none"/>
              </w:rPr>
            </w:pPr>
          </w:p>
        </w:tc>
        <w:tc>
          <w:tcPr>
            <w:tcW w:w="1610" w:type="dxa"/>
          </w:tcPr>
          <w:p w14:paraId="04ED0AB9">
            <w:pPr>
              <w:keepNext w:val="0"/>
              <w:keepLines w:val="0"/>
              <w:pageBreakBefore w:val="0"/>
              <w:widowControl w:val="0"/>
              <w:kinsoku/>
              <w:overflowPunct/>
              <w:topLinePunct/>
              <w:bidi w:val="0"/>
              <w:adjustRightInd w:val="0"/>
              <w:snapToGrid w:val="0"/>
              <w:rPr>
                <w:sz w:val="24"/>
                <w:highlight w:val="none"/>
              </w:rPr>
            </w:pPr>
          </w:p>
        </w:tc>
        <w:tc>
          <w:tcPr>
            <w:tcW w:w="839" w:type="dxa"/>
          </w:tcPr>
          <w:p w14:paraId="1B746415">
            <w:pPr>
              <w:keepNext w:val="0"/>
              <w:keepLines w:val="0"/>
              <w:pageBreakBefore w:val="0"/>
              <w:widowControl w:val="0"/>
              <w:kinsoku/>
              <w:overflowPunct/>
              <w:topLinePunct/>
              <w:bidi w:val="0"/>
              <w:adjustRightInd w:val="0"/>
              <w:snapToGrid w:val="0"/>
              <w:rPr>
                <w:sz w:val="24"/>
                <w:highlight w:val="none"/>
              </w:rPr>
            </w:pPr>
          </w:p>
        </w:tc>
      </w:tr>
      <w:tr w14:paraId="10F6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0DC37D55">
            <w:pPr>
              <w:keepNext w:val="0"/>
              <w:keepLines w:val="0"/>
              <w:pageBreakBefore w:val="0"/>
              <w:widowControl w:val="0"/>
              <w:kinsoku/>
              <w:overflowPunct/>
              <w:topLinePunct/>
              <w:bidi w:val="0"/>
              <w:adjustRightInd w:val="0"/>
              <w:snapToGrid w:val="0"/>
              <w:rPr>
                <w:sz w:val="24"/>
                <w:highlight w:val="none"/>
              </w:rPr>
            </w:pPr>
          </w:p>
        </w:tc>
        <w:tc>
          <w:tcPr>
            <w:tcW w:w="1560" w:type="dxa"/>
          </w:tcPr>
          <w:p w14:paraId="00669654">
            <w:pPr>
              <w:keepNext w:val="0"/>
              <w:keepLines w:val="0"/>
              <w:pageBreakBefore w:val="0"/>
              <w:widowControl w:val="0"/>
              <w:kinsoku/>
              <w:overflowPunct/>
              <w:topLinePunct/>
              <w:bidi w:val="0"/>
              <w:adjustRightInd w:val="0"/>
              <w:snapToGrid w:val="0"/>
              <w:rPr>
                <w:sz w:val="24"/>
                <w:highlight w:val="none"/>
              </w:rPr>
            </w:pPr>
          </w:p>
        </w:tc>
        <w:tc>
          <w:tcPr>
            <w:tcW w:w="2076" w:type="dxa"/>
          </w:tcPr>
          <w:p w14:paraId="24C0B2BA">
            <w:pPr>
              <w:keepNext w:val="0"/>
              <w:keepLines w:val="0"/>
              <w:pageBreakBefore w:val="0"/>
              <w:widowControl w:val="0"/>
              <w:kinsoku/>
              <w:overflowPunct/>
              <w:topLinePunct/>
              <w:bidi w:val="0"/>
              <w:adjustRightInd w:val="0"/>
              <w:snapToGrid w:val="0"/>
              <w:rPr>
                <w:sz w:val="24"/>
                <w:highlight w:val="none"/>
              </w:rPr>
            </w:pPr>
          </w:p>
        </w:tc>
        <w:tc>
          <w:tcPr>
            <w:tcW w:w="1431" w:type="dxa"/>
          </w:tcPr>
          <w:p w14:paraId="3D5DA425">
            <w:pPr>
              <w:keepNext w:val="0"/>
              <w:keepLines w:val="0"/>
              <w:pageBreakBefore w:val="0"/>
              <w:widowControl w:val="0"/>
              <w:kinsoku/>
              <w:overflowPunct/>
              <w:topLinePunct/>
              <w:bidi w:val="0"/>
              <w:adjustRightInd w:val="0"/>
              <w:snapToGrid w:val="0"/>
              <w:rPr>
                <w:sz w:val="24"/>
                <w:highlight w:val="none"/>
              </w:rPr>
            </w:pPr>
          </w:p>
        </w:tc>
        <w:tc>
          <w:tcPr>
            <w:tcW w:w="1610" w:type="dxa"/>
          </w:tcPr>
          <w:p w14:paraId="324310B3">
            <w:pPr>
              <w:keepNext w:val="0"/>
              <w:keepLines w:val="0"/>
              <w:pageBreakBefore w:val="0"/>
              <w:widowControl w:val="0"/>
              <w:kinsoku/>
              <w:overflowPunct/>
              <w:topLinePunct/>
              <w:bidi w:val="0"/>
              <w:adjustRightInd w:val="0"/>
              <w:snapToGrid w:val="0"/>
              <w:rPr>
                <w:sz w:val="24"/>
                <w:highlight w:val="none"/>
              </w:rPr>
            </w:pPr>
          </w:p>
        </w:tc>
        <w:tc>
          <w:tcPr>
            <w:tcW w:w="839" w:type="dxa"/>
          </w:tcPr>
          <w:p w14:paraId="351736C1">
            <w:pPr>
              <w:keepNext w:val="0"/>
              <w:keepLines w:val="0"/>
              <w:pageBreakBefore w:val="0"/>
              <w:widowControl w:val="0"/>
              <w:kinsoku/>
              <w:overflowPunct/>
              <w:topLinePunct/>
              <w:bidi w:val="0"/>
              <w:adjustRightInd w:val="0"/>
              <w:snapToGrid w:val="0"/>
              <w:rPr>
                <w:sz w:val="24"/>
                <w:highlight w:val="none"/>
              </w:rPr>
            </w:pPr>
          </w:p>
        </w:tc>
      </w:tr>
      <w:tr w14:paraId="41B1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685289D2">
            <w:pPr>
              <w:keepNext w:val="0"/>
              <w:keepLines w:val="0"/>
              <w:pageBreakBefore w:val="0"/>
              <w:widowControl w:val="0"/>
              <w:kinsoku/>
              <w:overflowPunct/>
              <w:topLinePunct/>
              <w:bidi w:val="0"/>
              <w:adjustRightInd w:val="0"/>
              <w:snapToGrid w:val="0"/>
              <w:rPr>
                <w:sz w:val="24"/>
                <w:highlight w:val="none"/>
              </w:rPr>
            </w:pPr>
          </w:p>
        </w:tc>
        <w:tc>
          <w:tcPr>
            <w:tcW w:w="1560" w:type="dxa"/>
          </w:tcPr>
          <w:p w14:paraId="301C6E98">
            <w:pPr>
              <w:keepNext w:val="0"/>
              <w:keepLines w:val="0"/>
              <w:pageBreakBefore w:val="0"/>
              <w:widowControl w:val="0"/>
              <w:kinsoku/>
              <w:overflowPunct/>
              <w:topLinePunct/>
              <w:bidi w:val="0"/>
              <w:adjustRightInd w:val="0"/>
              <w:snapToGrid w:val="0"/>
              <w:rPr>
                <w:sz w:val="24"/>
                <w:highlight w:val="none"/>
              </w:rPr>
            </w:pPr>
          </w:p>
        </w:tc>
        <w:tc>
          <w:tcPr>
            <w:tcW w:w="2076" w:type="dxa"/>
          </w:tcPr>
          <w:p w14:paraId="4EDD0D91">
            <w:pPr>
              <w:keepNext w:val="0"/>
              <w:keepLines w:val="0"/>
              <w:pageBreakBefore w:val="0"/>
              <w:widowControl w:val="0"/>
              <w:kinsoku/>
              <w:overflowPunct/>
              <w:topLinePunct/>
              <w:bidi w:val="0"/>
              <w:adjustRightInd w:val="0"/>
              <w:snapToGrid w:val="0"/>
              <w:rPr>
                <w:sz w:val="24"/>
                <w:highlight w:val="none"/>
              </w:rPr>
            </w:pPr>
          </w:p>
        </w:tc>
        <w:tc>
          <w:tcPr>
            <w:tcW w:w="1431" w:type="dxa"/>
          </w:tcPr>
          <w:p w14:paraId="4D7BF36A">
            <w:pPr>
              <w:keepNext w:val="0"/>
              <w:keepLines w:val="0"/>
              <w:pageBreakBefore w:val="0"/>
              <w:widowControl w:val="0"/>
              <w:kinsoku/>
              <w:overflowPunct/>
              <w:topLinePunct/>
              <w:bidi w:val="0"/>
              <w:adjustRightInd w:val="0"/>
              <w:snapToGrid w:val="0"/>
              <w:rPr>
                <w:sz w:val="24"/>
                <w:highlight w:val="none"/>
              </w:rPr>
            </w:pPr>
          </w:p>
        </w:tc>
        <w:tc>
          <w:tcPr>
            <w:tcW w:w="1610" w:type="dxa"/>
          </w:tcPr>
          <w:p w14:paraId="08AFDFA2">
            <w:pPr>
              <w:keepNext w:val="0"/>
              <w:keepLines w:val="0"/>
              <w:pageBreakBefore w:val="0"/>
              <w:widowControl w:val="0"/>
              <w:kinsoku/>
              <w:overflowPunct/>
              <w:topLinePunct/>
              <w:bidi w:val="0"/>
              <w:adjustRightInd w:val="0"/>
              <w:snapToGrid w:val="0"/>
              <w:rPr>
                <w:sz w:val="24"/>
                <w:highlight w:val="none"/>
              </w:rPr>
            </w:pPr>
          </w:p>
        </w:tc>
        <w:tc>
          <w:tcPr>
            <w:tcW w:w="839" w:type="dxa"/>
          </w:tcPr>
          <w:p w14:paraId="5180F748">
            <w:pPr>
              <w:keepNext w:val="0"/>
              <w:keepLines w:val="0"/>
              <w:pageBreakBefore w:val="0"/>
              <w:widowControl w:val="0"/>
              <w:kinsoku/>
              <w:overflowPunct/>
              <w:topLinePunct/>
              <w:bidi w:val="0"/>
              <w:adjustRightInd w:val="0"/>
              <w:snapToGrid w:val="0"/>
              <w:rPr>
                <w:sz w:val="24"/>
                <w:highlight w:val="none"/>
              </w:rPr>
            </w:pPr>
          </w:p>
        </w:tc>
      </w:tr>
      <w:tr w14:paraId="560F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1243799C">
            <w:pPr>
              <w:keepNext w:val="0"/>
              <w:keepLines w:val="0"/>
              <w:pageBreakBefore w:val="0"/>
              <w:widowControl w:val="0"/>
              <w:kinsoku/>
              <w:overflowPunct/>
              <w:topLinePunct/>
              <w:bidi w:val="0"/>
              <w:adjustRightInd w:val="0"/>
              <w:snapToGrid w:val="0"/>
              <w:rPr>
                <w:sz w:val="24"/>
                <w:highlight w:val="none"/>
              </w:rPr>
            </w:pPr>
          </w:p>
        </w:tc>
        <w:tc>
          <w:tcPr>
            <w:tcW w:w="1560" w:type="dxa"/>
          </w:tcPr>
          <w:p w14:paraId="42E1ECDA">
            <w:pPr>
              <w:keepNext w:val="0"/>
              <w:keepLines w:val="0"/>
              <w:pageBreakBefore w:val="0"/>
              <w:widowControl w:val="0"/>
              <w:kinsoku/>
              <w:overflowPunct/>
              <w:topLinePunct/>
              <w:bidi w:val="0"/>
              <w:adjustRightInd w:val="0"/>
              <w:snapToGrid w:val="0"/>
              <w:rPr>
                <w:sz w:val="24"/>
                <w:highlight w:val="none"/>
              </w:rPr>
            </w:pPr>
          </w:p>
        </w:tc>
        <w:tc>
          <w:tcPr>
            <w:tcW w:w="2076" w:type="dxa"/>
          </w:tcPr>
          <w:p w14:paraId="33EF70A0">
            <w:pPr>
              <w:keepNext w:val="0"/>
              <w:keepLines w:val="0"/>
              <w:pageBreakBefore w:val="0"/>
              <w:widowControl w:val="0"/>
              <w:kinsoku/>
              <w:overflowPunct/>
              <w:topLinePunct/>
              <w:bidi w:val="0"/>
              <w:adjustRightInd w:val="0"/>
              <w:snapToGrid w:val="0"/>
              <w:rPr>
                <w:sz w:val="24"/>
                <w:highlight w:val="none"/>
              </w:rPr>
            </w:pPr>
          </w:p>
        </w:tc>
        <w:tc>
          <w:tcPr>
            <w:tcW w:w="1431" w:type="dxa"/>
          </w:tcPr>
          <w:p w14:paraId="6B8556D2">
            <w:pPr>
              <w:keepNext w:val="0"/>
              <w:keepLines w:val="0"/>
              <w:pageBreakBefore w:val="0"/>
              <w:widowControl w:val="0"/>
              <w:kinsoku/>
              <w:overflowPunct/>
              <w:topLinePunct/>
              <w:bidi w:val="0"/>
              <w:adjustRightInd w:val="0"/>
              <w:snapToGrid w:val="0"/>
              <w:rPr>
                <w:sz w:val="24"/>
                <w:highlight w:val="none"/>
              </w:rPr>
            </w:pPr>
          </w:p>
        </w:tc>
        <w:tc>
          <w:tcPr>
            <w:tcW w:w="1610" w:type="dxa"/>
          </w:tcPr>
          <w:p w14:paraId="0381436B">
            <w:pPr>
              <w:keepNext w:val="0"/>
              <w:keepLines w:val="0"/>
              <w:pageBreakBefore w:val="0"/>
              <w:widowControl w:val="0"/>
              <w:kinsoku/>
              <w:overflowPunct/>
              <w:topLinePunct/>
              <w:bidi w:val="0"/>
              <w:adjustRightInd w:val="0"/>
              <w:snapToGrid w:val="0"/>
              <w:rPr>
                <w:sz w:val="24"/>
                <w:highlight w:val="none"/>
              </w:rPr>
            </w:pPr>
          </w:p>
        </w:tc>
        <w:tc>
          <w:tcPr>
            <w:tcW w:w="839" w:type="dxa"/>
          </w:tcPr>
          <w:p w14:paraId="11936A30">
            <w:pPr>
              <w:keepNext w:val="0"/>
              <w:keepLines w:val="0"/>
              <w:pageBreakBefore w:val="0"/>
              <w:widowControl w:val="0"/>
              <w:kinsoku/>
              <w:overflowPunct/>
              <w:topLinePunct/>
              <w:bidi w:val="0"/>
              <w:adjustRightInd w:val="0"/>
              <w:snapToGrid w:val="0"/>
              <w:rPr>
                <w:sz w:val="24"/>
                <w:highlight w:val="none"/>
              </w:rPr>
            </w:pPr>
          </w:p>
        </w:tc>
      </w:tr>
      <w:tr w14:paraId="2A91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7F69865F">
            <w:pPr>
              <w:keepNext w:val="0"/>
              <w:keepLines w:val="0"/>
              <w:pageBreakBefore w:val="0"/>
              <w:widowControl w:val="0"/>
              <w:kinsoku/>
              <w:overflowPunct/>
              <w:topLinePunct/>
              <w:bidi w:val="0"/>
              <w:adjustRightInd w:val="0"/>
              <w:snapToGrid w:val="0"/>
              <w:rPr>
                <w:sz w:val="24"/>
                <w:highlight w:val="none"/>
              </w:rPr>
            </w:pPr>
          </w:p>
        </w:tc>
        <w:tc>
          <w:tcPr>
            <w:tcW w:w="1560" w:type="dxa"/>
          </w:tcPr>
          <w:p w14:paraId="41DFDCAE">
            <w:pPr>
              <w:keepNext w:val="0"/>
              <w:keepLines w:val="0"/>
              <w:pageBreakBefore w:val="0"/>
              <w:widowControl w:val="0"/>
              <w:kinsoku/>
              <w:overflowPunct/>
              <w:topLinePunct/>
              <w:bidi w:val="0"/>
              <w:adjustRightInd w:val="0"/>
              <w:snapToGrid w:val="0"/>
              <w:rPr>
                <w:sz w:val="24"/>
                <w:highlight w:val="none"/>
              </w:rPr>
            </w:pPr>
          </w:p>
        </w:tc>
        <w:tc>
          <w:tcPr>
            <w:tcW w:w="2076" w:type="dxa"/>
          </w:tcPr>
          <w:p w14:paraId="332E0867">
            <w:pPr>
              <w:keepNext w:val="0"/>
              <w:keepLines w:val="0"/>
              <w:pageBreakBefore w:val="0"/>
              <w:widowControl w:val="0"/>
              <w:kinsoku/>
              <w:overflowPunct/>
              <w:topLinePunct/>
              <w:bidi w:val="0"/>
              <w:adjustRightInd w:val="0"/>
              <w:snapToGrid w:val="0"/>
              <w:rPr>
                <w:sz w:val="24"/>
                <w:highlight w:val="none"/>
              </w:rPr>
            </w:pPr>
          </w:p>
        </w:tc>
        <w:tc>
          <w:tcPr>
            <w:tcW w:w="1431" w:type="dxa"/>
          </w:tcPr>
          <w:p w14:paraId="619F5E48">
            <w:pPr>
              <w:keepNext w:val="0"/>
              <w:keepLines w:val="0"/>
              <w:pageBreakBefore w:val="0"/>
              <w:widowControl w:val="0"/>
              <w:kinsoku/>
              <w:overflowPunct/>
              <w:topLinePunct/>
              <w:bidi w:val="0"/>
              <w:adjustRightInd w:val="0"/>
              <w:snapToGrid w:val="0"/>
              <w:rPr>
                <w:sz w:val="24"/>
                <w:highlight w:val="none"/>
              </w:rPr>
            </w:pPr>
          </w:p>
        </w:tc>
        <w:tc>
          <w:tcPr>
            <w:tcW w:w="1610" w:type="dxa"/>
          </w:tcPr>
          <w:p w14:paraId="4CE203FE">
            <w:pPr>
              <w:keepNext w:val="0"/>
              <w:keepLines w:val="0"/>
              <w:pageBreakBefore w:val="0"/>
              <w:widowControl w:val="0"/>
              <w:kinsoku/>
              <w:overflowPunct/>
              <w:topLinePunct/>
              <w:bidi w:val="0"/>
              <w:adjustRightInd w:val="0"/>
              <w:snapToGrid w:val="0"/>
              <w:rPr>
                <w:sz w:val="24"/>
                <w:highlight w:val="none"/>
              </w:rPr>
            </w:pPr>
          </w:p>
        </w:tc>
        <w:tc>
          <w:tcPr>
            <w:tcW w:w="839" w:type="dxa"/>
          </w:tcPr>
          <w:p w14:paraId="334D7B04">
            <w:pPr>
              <w:keepNext w:val="0"/>
              <w:keepLines w:val="0"/>
              <w:pageBreakBefore w:val="0"/>
              <w:widowControl w:val="0"/>
              <w:kinsoku/>
              <w:overflowPunct/>
              <w:topLinePunct/>
              <w:bidi w:val="0"/>
              <w:adjustRightInd w:val="0"/>
              <w:snapToGrid w:val="0"/>
              <w:rPr>
                <w:sz w:val="24"/>
                <w:highlight w:val="none"/>
              </w:rPr>
            </w:pPr>
          </w:p>
        </w:tc>
      </w:tr>
    </w:tbl>
    <w:p w14:paraId="101BE17A">
      <w:pPr>
        <w:keepNext w:val="0"/>
        <w:keepLines w:val="0"/>
        <w:pageBreakBefore w:val="0"/>
        <w:widowControl w:val="0"/>
        <w:kinsoku/>
        <w:overflowPunct/>
        <w:topLinePunct/>
        <w:bidi w:val="0"/>
        <w:snapToGrid w:val="0"/>
        <w:spacing w:line="480" w:lineRule="exact"/>
        <w:ind w:firstLine="542" w:firstLineChars="226"/>
        <w:jc w:val="left"/>
        <w:rPr>
          <w:kern w:val="0"/>
          <w:sz w:val="24"/>
          <w:szCs w:val="28"/>
          <w:highlight w:val="none"/>
        </w:rPr>
      </w:pPr>
      <w:r>
        <w:rPr>
          <w:kern w:val="0"/>
          <w:sz w:val="24"/>
          <w:szCs w:val="28"/>
          <w:highlight w:val="none"/>
        </w:rPr>
        <w:t xml:space="preserve">备注： </w:t>
      </w:r>
    </w:p>
    <w:p w14:paraId="7AA987A3">
      <w:pPr>
        <w:keepNext w:val="0"/>
        <w:keepLines w:val="0"/>
        <w:pageBreakBefore w:val="0"/>
        <w:widowControl w:val="0"/>
        <w:kinsoku/>
        <w:overflowPunct/>
        <w:topLinePunct/>
        <w:bidi w:val="0"/>
        <w:snapToGrid w:val="0"/>
        <w:spacing w:line="480" w:lineRule="exact"/>
        <w:ind w:firstLine="542" w:firstLineChars="226"/>
        <w:jc w:val="left"/>
        <w:rPr>
          <w:kern w:val="0"/>
          <w:sz w:val="24"/>
          <w:szCs w:val="28"/>
          <w:highlight w:val="none"/>
        </w:rPr>
      </w:pPr>
      <w:r>
        <w:rPr>
          <w:rFonts w:hint="eastAsia" w:ascii="宋体" w:hAnsi="宋体" w:eastAsia="宋体" w:cs="宋体"/>
          <w:color w:val="auto"/>
          <w:kern w:val="2"/>
          <w:sz w:val="24"/>
          <w:szCs w:val="24"/>
          <w:highlight w:val="none"/>
          <w:lang w:val="en-US" w:eastAsia="zh-CN" w:bidi="ar-SA"/>
        </w:rPr>
        <w:t>业绩证明材料后附</w:t>
      </w:r>
      <w:r>
        <w:rPr>
          <w:rFonts w:hint="eastAsia"/>
          <w:kern w:val="0"/>
          <w:sz w:val="24"/>
          <w:szCs w:val="28"/>
          <w:highlight w:val="none"/>
        </w:rPr>
        <w:t>（需</w:t>
      </w:r>
      <w:r>
        <w:rPr>
          <w:kern w:val="0"/>
          <w:sz w:val="24"/>
          <w:szCs w:val="28"/>
          <w:highlight w:val="none"/>
        </w:rPr>
        <w:t>加盖</w:t>
      </w:r>
      <w:r>
        <w:rPr>
          <w:rFonts w:hint="eastAsia"/>
          <w:kern w:val="0"/>
          <w:sz w:val="24"/>
          <w:szCs w:val="28"/>
          <w:highlight w:val="none"/>
        </w:rPr>
        <w:t>投标人</w:t>
      </w:r>
      <w:r>
        <w:rPr>
          <w:kern w:val="0"/>
          <w:sz w:val="24"/>
          <w:szCs w:val="28"/>
          <w:highlight w:val="none"/>
        </w:rPr>
        <w:t>公章）</w:t>
      </w:r>
      <w:r>
        <w:rPr>
          <w:rFonts w:hint="eastAsia"/>
          <w:kern w:val="0"/>
          <w:sz w:val="24"/>
          <w:szCs w:val="28"/>
          <w:highlight w:val="none"/>
        </w:rPr>
        <w:t>。</w:t>
      </w:r>
    </w:p>
    <w:p w14:paraId="386402C4">
      <w:pPr>
        <w:keepNext w:val="0"/>
        <w:keepLines w:val="0"/>
        <w:pageBreakBefore w:val="0"/>
        <w:widowControl w:val="0"/>
        <w:kinsoku/>
        <w:overflowPunct/>
        <w:topLinePunct/>
        <w:bidi w:val="0"/>
        <w:snapToGrid w:val="0"/>
        <w:spacing w:line="480" w:lineRule="exact"/>
        <w:ind w:firstLine="542" w:firstLineChars="226"/>
        <w:jc w:val="center"/>
        <w:rPr>
          <w:sz w:val="24"/>
          <w:highlight w:val="none"/>
        </w:rPr>
      </w:pPr>
    </w:p>
    <w:p w14:paraId="754EBA47">
      <w:pPr>
        <w:keepNext w:val="0"/>
        <w:keepLines w:val="0"/>
        <w:pageBreakBefore w:val="0"/>
        <w:widowControl w:val="0"/>
        <w:kinsoku/>
        <w:overflowPunct/>
        <w:topLinePunct/>
        <w:bidi w:val="0"/>
        <w:adjustRightInd w:val="0"/>
        <w:snapToGrid w:val="0"/>
        <w:spacing w:line="360" w:lineRule="auto"/>
        <w:outlineLvl w:val="1"/>
        <w:rPr>
          <w:rFonts w:hint="default" w:ascii="宋体" w:hAnsi="宋体" w:eastAsia="宋体" w:cs="Times New Roman"/>
          <w:b/>
          <w:kern w:val="0"/>
          <w:sz w:val="24"/>
          <w:highlight w:val="none"/>
          <w:lang w:val="en-US" w:eastAsia="zh-CN"/>
        </w:rPr>
      </w:pPr>
      <w:r>
        <w:rPr>
          <w:b/>
          <w:bCs/>
          <w:sz w:val="24"/>
          <w:highlight w:val="none"/>
        </w:rPr>
        <w:br w:type="page"/>
      </w:r>
      <w:bookmarkStart w:id="88" w:name="_Toc180347494"/>
      <w:r>
        <w:rPr>
          <w:rFonts w:hint="eastAsia" w:ascii="宋体" w:hAnsi="宋体" w:eastAsia="宋体" w:cs="Times New Roman"/>
          <w:b/>
          <w:kern w:val="0"/>
          <w:sz w:val="24"/>
          <w:highlight w:val="none"/>
          <w:lang w:val="en-US" w:eastAsia="zh-CN"/>
        </w:rPr>
        <w:t>8．</w:t>
      </w:r>
      <w:bookmarkEnd w:id="88"/>
      <w:r>
        <w:rPr>
          <w:rFonts w:hint="eastAsia" w:ascii="宋体" w:hAnsi="宋体" w:cs="Times New Roman"/>
          <w:b/>
          <w:kern w:val="0"/>
          <w:sz w:val="24"/>
          <w:highlight w:val="none"/>
          <w:lang w:val="en-US" w:eastAsia="zh-CN"/>
        </w:rPr>
        <w:t>企业信誉；（复印件或影印件加盖投标人公章）</w:t>
      </w:r>
    </w:p>
    <w:p w14:paraId="0322A5F4">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cs="Times New Roman"/>
          <w:b/>
          <w:kern w:val="0"/>
          <w:sz w:val="24"/>
          <w:highlight w:val="none"/>
          <w:lang w:val="en-US" w:eastAsia="zh-CN"/>
        </w:rPr>
      </w:pPr>
    </w:p>
    <w:p w14:paraId="54A8ADB3">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cs="Times New Roman"/>
          <w:b/>
          <w:kern w:val="0"/>
          <w:sz w:val="24"/>
          <w:highlight w:val="none"/>
          <w:lang w:val="en-US" w:eastAsia="zh-CN"/>
        </w:rPr>
      </w:pPr>
    </w:p>
    <w:p w14:paraId="665D2A7D">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cs="Times New Roman"/>
          <w:b/>
          <w:kern w:val="0"/>
          <w:sz w:val="24"/>
          <w:highlight w:val="none"/>
          <w:lang w:val="en-US" w:eastAsia="zh-CN"/>
        </w:rPr>
      </w:pPr>
    </w:p>
    <w:p w14:paraId="43B705A0">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cs="Times New Roman"/>
          <w:b/>
          <w:kern w:val="0"/>
          <w:sz w:val="24"/>
          <w:highlight w:val="none"/>
          <w:lang w:val="en-US" w:eastAsia="zh-CN"/>
        </w:rPr>
      </w:pPr>
    </w:p>
    <w:p w14:paraId="3E54FEC3">
      <w:pPr>
        <w:keepNext w:val="0"/>
        <w:keepLines w:val="0"/>
        <w:pageBreakBefore w:val="0"/>
        <w:widowControl w:val="0"/>
        <w:kinsoku/>
        <w:overflowPunct/>
        <w:topLinePunct/>
        <w:bidi w:val="0"/>
        <w:adjustRightInd w:val="0"/>
        <w:snapToGrid w:val="0"/>
        <w:spacing w:line="360" w:lineRule="auto"/>
        <w:outlineLvl w:val="1"/>
        <w:rPr>
          <w:rFonts w:hint="eastAsia" w:ascii="宋体" w:hAnsi="宋体" w:eastAsia="宋体" w:cs="Times New Roman"/>
          <w:b/>
          <w:kern w:val="0"/>
          <w:sz w:val="24"/>
          <w:highlight w:val="none"/>
          <w:lang w:val="en-US" w:eastAsia="zh-CN"/>
        </w:rPr>
      </w:pPr>
    </w:p>
    <w:p w14:paraId="2B6BA873">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r>
        <w:rPr>
          <w:rFonts w:hint="eastAsia" w:ascii="宋体" w:hAnsi="宋体" w:cs="Times New Roman"/>
          <w:b/>
          <w:kern w:val="0"/>
          <w:sz w:val="24"/>
          <w:highlight w:val="none"/>
          <w:lang w:val="en-US" w:eastAsia="zh-CN"/>
        </w:rPr>
        <w:t>9.服务方案；（格式自拟）</w:t>
      </w:r>
    </w:p>
    <w:p w14:paraId="49908067">
      <w:pPr>
        <w:keepNext w:val="0"/>
        <w:keepLines w:val="0"/>
        <w:pageBreakBefore w:val="0"/>
        <w:widowControl w:val="0"/>
        <w:kinsoku/>
        <w:overflowPunct/>
        <w:topLinePunct/>
        <w:bidi w:val="0"/>
        <w:spacing w:line="420" w:lineRule="exact"/>
        <w:ind w:firstLine="482"/>
        <w:rPr>
          <w:b/>
          <w:bCs/>
          <w:sz w:val="24"/>
          <w:highlight w:val="none"/>
        </w:rPr>
      </w:pPr>
    </w:p>
    <w:p w14:paraId="64B1E742">
      <w:pPr>
        <w:keepNext w:val="0"/>
        <w:keepLines w:val="0"/>
        <w:pageBreakBefore w:val="0"/>
        <w:widowControl w:val="0"/>
        <w:kinsoku/>
        <w:overflowPunct/>
        <w:topLinePunct/>
        <w:bidi w:val="0"/>
        <w:spacing w:line="330" w:lineRule="atLeast"/>
        <w:ind w:firstLine="480"/>
        <w:jc w:val="left"/>
        <w:rPr>
          <w:kern w:val="0"/>
          <w:sz w:val="24"/>
          <w:highlight w:val="none"/>
        </w:rPr>
      </w:pPr>
    </w:p>
    <w:p w14:paraId="62018307">
      <w:pPr>
        <w:keepNext w:val="0"/>
        <w:keepLines w:val="0"/>
        <w:pageBreakBefore w:val="0"/>
        <w:widowControl w:val="0"/>
        <w:kinsoku/>
        <w:overflowPunct/>
        <w:topLinePunct/>
        <w:bidi w:val="0"/>
        <w:spacing w:line="420" w:lineRule="exact"/>
        <w:ind w:firstLine="482"/>
        <w:rPr>
          <w:b/>
          <w:bCs/>
          <w:sz w:val="24"/>
          <w:highlight w:val="none"/>
        </w:rPr>
      </w:pPr>
    </w:p>
    <w:p w14:paraId="11F55CA0">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bookmarkStart w:id="89" w:name="_Toc180347496"/>
    </w:p>
    <w:p w14:paraId="38FABA26">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p>
    <w:p w14:paraId="05835C09">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p>
    <w:p w14:paraId="5CA851DA">
      <w:pPr>
        <w:keepNext w:val="0"/>
        <w:keepLines w:val="0"/>
        <w:pageBreakBefore w:val="0"/>
        <w:widowControl w:val="0"/>
        <w:kinsoku/>
        <w:overflowPunct/>
        <w:topLinePunct/>
        <w:bidi w:val="0"/>
        <w:adjustRightInd w:val="0"/>
        <w:snapToGrid w:val="0"/>
        <w:spacing w:line="360" w:lineRule="auto"/>
        <w:outlineLvl w:val="1"/>
        <w:rPr>
          <w:rFonts w:hint="default" w:ascii="宋体" w:hAnsi="宋体" w:eastAsia="宋体"/>
          <w:b/>
          <w:kern w:val="0"/>
          <w:sz w:val="24"/>
          <w:highlight w:val="none"/>
          <w:lang w:val="en-US" w:eastAsia="zh-CN"/>
        </w:rPr>
      </w:pPr>
      <w:r>
        <w:rPr>
          <w:rFonts w:ascii="宋体" w:hAnsi="宋体"/>
          <w:b/>
          <w:kern w:val="0"/>
          <w:sz w:val="24"/>
          <w:highlight w:val="none"/>
        </w:rPr>
        <w:t>1</w:t>
      </w:r>
      <w:r>
        <w:rPr>
          <w:rFonts w:hint="eastAsia" w:ascii="宋体" w:hAnsi="宋体"/>
          <w:b/>
          <w:kern w:val="0"/>
          <w:sz w:val="24"/>
          <w:highlight w:val="none"/>
          <w:lang w:val="en-US" w:eastAsia="zh-CN"/>
        </w:rPr>
        <w:t>0</w:t>
      </w:r>
      <w:r>
        <w:rPr>
          <w:rFonts w:hint="eastAsia" w:ascii="宋体" w:hAnsi="宋体"/>
          <w:b/>
          <w:kern w:val="0"/>
          <w:sz w:val="24"/>
          <w:highlight w:val="none"/>
        </w:rPr>
        <w:t>．</w:t>
      </w:r>
      <w:bookmarkEnd w:id="89"/>
      <w:r>
        <w:rPr>
          <w:rFonts w:hint="eastAsia" w:ascii="宋体" w:hAnsi="宋体"/>
          <w:b/>
          <w:kern w:val="0"/>
          <w:sz w:val="24"/>
          <w:highlight w:val="none"/>
          <w:lang w:val="en-US" w:eastAsia="zh-CN"/>
        </w:rPr>
        <w:t>技术方案；</w:t>
      </w:r>
      <w:r>
        <w:rPr>
          <w:rFonts w:hint="eastAsia" w:ascii="宋体" w:hAnsi="宋体" w:cs="Times New Roman"/>
          <w:b/>
          <w:kern w:val="0"/>
          <w:sz w:val="24"/>
          <w:highlight w:val="none"/>
          <w:lang w:val="en-US" w:eastAsia="zh-CN"/>
        </w:rPr>
        <w:t>（格式自拟）</w:t>
      </w:r>
    </w:p>
    <w:p w14:paraId="1E357EA5">
      <w:pPr>
        <w:keepNext w:val="0"/>
        <w:keepLines w:val="0"/>
        <w:pageBreakBefore w:val="0"/>
        <w:widowControl w:val="0"/>
        <w:kinsoku/>
        <w:overflowPunct/>
        <w:topLinePunct/>
        <w:bidi w:val="0"/>
        <w:adjustRightInd w:val="0"/>
        <w:snapToGrid w:val="0"/>
        <w:spacing w:line="360" w:lineRule="auto"/>
        <w:outlineLvl w:val="1"/>
        <w:rPr>
          <w:rFonts w:hint="eastAsia" w:ascii="宋体" w:hAnsi="宋体"/>
          <w:b/>
          <w:kern w:val="0"/>
          <w:sz w:val="24"/>
          <w:highlight w:val="none"/>
        </w:rPr>
      </w:pPr>
    </w:p>
    <w:p w14:paraId="1B7F79C1">
      <w:pPr>
        <w:keepNext w:val="0"/>
        <w:keepLines w:val="0"/>
        <w:pageBreakBefore w:val="0"/>
        <w:widowControl w:val="0"/>
        <w:kinsoku/>
        <w:overflowPunct/>
        <w:topLinePunct/>
        <w:bidi w:val="0"/>
        <w:adjustRightInd w:val="0"/>
        <w:snapToGrid w:val="0"/>
        <w:spacing w:line="360" w:lineRule="auto"/>
        <w:outlineLvl w:val="1"/>
        <w:rPr>
          <w:rFonts w:hint="eastAsia" w:ascii="宋体" w:hAnsi="宋体"/>
          <w:b/>
          <w:kern w:val="0"/>
          <w:sz w:val="24"/>
          <w:highlight w:val="none"/>
        </w:rPr>
      </w:pPr>
    </w:p>
    <w:p w14:paraId="1348AC90">
      <w:pPr>
        <w:keepNext w:val="0"/>
        <w:keepLines w:val="0"/>
        <w:pageBreakBefore w:val="0"/>
        <w:widowControl w:val="0"/>
        <w:kinsoku/>
        <w:overflowPunct/>
        <w:topLinePunct/>
        <w:bidi w:val="0"/>
        <w:adjustRightInd w:val="0"/>
        <w:snapToGrid w:val="0"/>
        <w:spacing w:line="360" w:lineRule="auto"/>
        <w:outlineLvl w:val="1"/>
        <w:rPr>
          <w:rFonts w:hint="eastAsia" w:ascii="宋体" w:hAnsi="宋体"/>
          <w:b/>
          <w:kern w:val="0"/>
          <w:sz w:val="24"/>
          <w:highlight w:val="none"/>
        </w:rPr>
      </w:pPr>
    </w:p>
    <w:p w14:paraId="26AEB647">
      <w:pPr>
        <w:keepNext w:val="0"/>
        <w:keepLines w:val="0"/>
        <w:pageBreakBefore w:val="0"/>
        <w:widowControl w:val="0"/>
        <w:kinsoku/>
        <w:overflowPunct/>
        <w:topLinePunct/>
        <w:bidi w:val="0"/>
        <w:adjustRightInd w:val="0"/>
        <w:snapToGrid w:val="0"/>
        <w:spacing w:line="360" w:lineRule="auto"/>
        <w:outlineLvl w:val="1"/>
        <w:rPr>
          <w:rFonts w:hint="eastAsia" w:ascii="宋体" w:hAnsi="宋体"/>
          <w:b/>
          <w:kern w:val="0"/>
          <w:sz w:val="24"/>
          <w:highlight w:val="none"/>
        </w:rPr>
      </w:pPr>
    </w:p>
    <w:p w14:paraId="722A75F7">
      <w:pPr>
        <w:keepNext w:val="0"/>
        <w:keepLines w:val="0"/>
        <w:pageBreakBefore w:val="0"/>
        <w:widowControl w:val="0"/>
        <w:kinsoku/>
        <w:overflowPunct/>
        <w:topLinePunct/>
        <w:bidi w:val="0"/>
        <w:adjustRightInd w:val="0"/>
        <w:snapToGrid w:val="0"/>
        <w:spacing w:line="360" w:lineRule="auto"/>
        <w:outlineLvl w:val="1"/>
        <w:rPr>
          <w:rFonts w:hint="eastAsia" w:ascii="宋体" w:hAnsi="宋体"/>
          <w:b/>
          <w:kern w:val="0"/>
          <w:sz w:val="24"/>
          <w:highlight w:val="none"/>
          <w:lang w:val="en-US" w:eastAsia="zh-CN"/>
        </w:rPr>
      </w:pPr>
    </w:p>
    <w:p w14:paraId="7E55E42A">
      <w:pPr>
        <w:keepNext w:val="0"/>
        <w:keepLines w:val="0"/>
        <w:pageBreakBefore w:val="0"/>
        <w:widowControl w:val="0"/>
        <w:kinsoku/>
        <w:overflowPunct/>
        <w:topLinePunct/>
        <w:bidi w:val="0"/>
        <w:adjustRightInd w:val="0"/>
        <w:snapToGrid w:val="0"/>
        <w:spacing w:line="360" w:lineRule="auto"/>
        <w:outlineLvl w:val="1"/>
        <w:rPr>
          <w:rFonts w:hint="eastAsia" w:ascii="宋体" w:hAnsi="宋体"/>
          <w:b/>
          <w:kern w:val="0"/>
          <w:sz w:val="24"/>
          <w:highlight w:val="none"/>
          <w:lang w:val="en-US" w:eastAsia="zh-CN"/>
        </w:rPr>
      </w:pPr>
    </w:p>
    <w:p w14:paraId="1BD59D63">
      <w:pPr>
        <w:keepNext w:val="0"/>
        <w:keepLines w:val="0"/>
        <w:pageBreakBefore w:val="0"/>
        <w:widowControl w:val="0"/>
        <w:kinsoku/>
        <w:overflowPunct/>
        <w:topLinePunct/>
        <w:bidi w:val="0"/>
        <w:adjustRightInd w:val="0"/>
        <w:snapToGrid w:val="0"/>
        <w:spacing w:line="360" w:lineRule="auto"/>
        <w:outlineLvl w:val="1"/>
        <w:rPr>
          <w:rFonts w:hint="eastAsia" w:ascii="宋体" w:hAnsi="宋体"/>
          <w:b/>
          <w:kern w:val="0"/>
          <w:sz w:val="24"/>
          <w:highlight w:val="none"/>
          <w:lang w:val="en-US" w:eastAsia="zh-CN"/>
        </w:rPr>
      </w:pPr>
    </w:p>
    <w:p w14:paraId="6B72641E">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r>
        <w:rPr>
          <w:rFonts w:hint="eastAsia" w:ascii="宋体" w:hAnsi="宋体"/>
          <w:b/>
          <w:kern w:val="0"/>
          <w:sz w:val="24"/>
          <w:highlight w:val="none"/>
          <w:lang w:val="en-US" w:eastAsia="zh-CN"/>
        </w:rPr>
        <w:t>11.</w:t>
      </w:r>
      <w:r>
        <w:rPr>
          <w:rFonts w:hint="eastAsia" w:ascii="宋体" w:hAnsi="宋体"/>
          <w:b/>
          <w:kern w:val="0"/>
          <w:sz w:val="24"/>
          <w:highlight w:val="none"/>
        </w:rPr>
        <w:t>投标人</w:t>
      </w:r>
      <w:r>
        <w:rPr>
          <w:rFonts w:ascii="宋体" w:hAnsi="宋体"/>
          <w:b/>
          <w:kern w:val="0"/>
          <w:sz w:val="24"/>
          <w:highlight w:val="none"/>
        </w:rPr>
        <w:t>认为需要提供的其他商务、技术材料。</w:t>
      </w:r>
    </w:p>
    <w:p w14:paraId="45CA97FB">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p>
    <w:p w14:paraId="659C2A2A">
      <w:pPr>
        <w:keepNext w:val="0"/>
        <w:keepLines w:val="0"/>
        <w:pageBreakBefore w:val="0"/>
        <w:widowControl w:val="0"/>
        <w:kinsoku/>
        <w:overflowPunct/>
        <w:topLinePunct/>
        <w:bidi w:val="0"/>
        <w:spacing w:line="360" w:lineRule="auto"/>
        <w:ind w:firstLine="482"/>
        <w:rPr>
          <w:b/>
          <w:bCs/>
          <w:sz w:val="24"/>
          <w:highlight w:val="none"/>
        </w:rPr>
      </w:pPr>
    </w:p>
    <w:p w14:paraId="08EBCB06">
      <w:pPr>
        <w:keepNext w:val="0"/>
        <w:keepLines w:val="0"/>
        <w:pageBreakBefore w:val="0"/>
        <w:widowControl w:val="0"/>
        <w:kinsoku/>
        <w:overflowPunct/>
        <w:topLinePunct/>
        <w:bidi w:val="0"/>
        <w:spacing w:line="360" w:lineRule="auto"/>
        <w:ind w:firstLine="480"/>
        <w:rPr>
          <w:sz w:val="24"/>
          <w:highlight w:val="none"/>
        </w:rPr>
      </w:pPr>
    </w:p>
    <w:p w14:paraId="0A82D0CB">
      <w:pPr>
        <w:keepNext w:val="0"/>
        <w:keepLines w:val="0"/>
        <w:pageBreakBefore w:val="0"/>
        <w:widowControl w:val="0"/>
        <w:kinsoku/>
        <w:overflowPunct/>
        <w:topLinePunct/>
        <w:bidi w:val="0"/>
        <w:spacing w:line="330" w:lineRule="atLeast"/>
        <w:ind w:firstLine="480"/>
        <w:jc w:val="left"/>
        <w:rPr>
          <w:kern w:val="0"/>
          <w:sz w:val="24"/>
          <w:highlight w:val="none"/>
        </w:rPr>
      </w:pPr>
    </w:p>
    <w:p w14:paraId="55A91871">
      <w:pPr>
        <w:keepNext w:val="0"/>
        <w:keepLines w:val="0"/>
        <w:pageBreakBefore w:val="0"/>
        <w:widowControl w:val="0"/>
        <w:kinsoku/>
        <w:overflowPunct/>
        <w:topLinePunct/>
        <w:bidi w:val="0"/>
        <w:adjustRightInd w:val="0"/>
        <w:snapToGrid w:val="0"/>
        <w:spacing w:line="360" w:lineRule="auto"/>
        <w:outlineLvl w:val="1"/>
        <w:rPr>
          <w:rFonts w:ascii="宋体" w:hAnsi="宋体"/>
          <w:b/>
          <w:kern w:val="0"/>
          <w:sz w:val="24"/>
          <w:highlight w:val="none"/>
        </w:rPr>
      </w:pPr>
      <w:r>
        <w:rPr>
          <w:b/>
          <w:bCs/>
          <w:sz w:val="24"/>
          <w:highlight w:val="none"/>
        </w:rPr>
        <w:br w:type="page"/>
      </w:r>
      <w:bookmarkStart w:id="90" w:name="_Toc180347500"/>
      <w:r>
        <w:rPr>
          <w:rFonts w:hint="eastAsia" w:ascii="宋体" w:hAnsi="宋体"/>
          <w:b/>
          <w:kern w:val="0"/>
          <w:sz w:val="24"/>
          <w:highlight w:val="none"/>
        </w:rPr>
        <w:t>1</w:t>
      </w:r>
      <w:r>
        <w:rPr>
          <w:rFonts w:hint="eastAsia" w:ascii="宋体" w:hAnsi="宋体"/>
          <w:b/>
          <w:kern w:val="0"/>
          <w:sz w:val="24"/>
          <w:highlight w:val="none"/>
          <w:lang w:val="en-US" w:eastAsia="zh-CN"/>
        </w:rPr>
        <w:t>2</w:t>
      </w:r>
      <w:r>
        <w:rPr>
          <w:rFonts w:hint="eastAsia" w:ascii="宋体" w:hAnsi="宋体"/>
          <w:b/>
          <w:kern w:val="0"/>
          <w:sz w:val="24"/>
          <w:highlight w:val="none"/>
        </w:rPr>
        <w:t>．政府采购政策性要求证明材料</w:t>
      </w:r>
      <w:bookmarkEnd w:id="90"/>
    </w:p>
    <w:p w14:paraId="07C9B282">
      <w:pPr>
        <w:keepNext w:val="0"/>
        <w:keepLines w:val="0"/>
        <w:pageBreakBefore w:val="0"/>
        <w:widowControl w:val="0"/>
        <w:tabs>
          <w:tab w:val="left" w:pos="1680"/>
        </w:tabs>
        <w:kinsoku/>
        <w:overflowPunct/>
        <w:topLinePunct/>
        <w:bidi w:val="0"/>
        <w:adjustRightInd w:val="0"/>
        <w:snapToGrid w:val="0"/>
        <w:spacing w:line="360" w:lineRule="auto"/>
        <w:ind w:firstLine="482"/>
        <w:outlineLvl w:val="2"/>
        <w:rPr>
          <w:rFonts w:ascii="宋体" w:hAnsi="宋体" w:cs="宋体"/>
          <w:sz w:val="24"/>
          <w:highlight w:val="none"/>
        </w:rPr>
      </w:pPr>
      <w:r>
        <w:rPr>
          <w:rFonts w:hint="eastAsia" w:ascii="宋体" w:hAnsi="宋体" w:cs="宋体"/>
          <w:b/>
          <w:kern w:val="0"/>
          <w:sz w:val="24"/>
          <w:highlight w:val="none"/>
        </w:rPr>
        <w:t>（一）</w:t>
      </w:r>
      <w:r>
        <w:rPr>
          <w:rFonts w:hint="eastAsia" w:ascii="宋体" w:hAnsi="宋体" w:cs="宋体"/>
          <w:b/>
          <w:sz w:val="24"/>
          <w:highlight w:val="none"/>
        </w:rPr>
        <w:t>环保节能产品证明材料</w:t>
      </w:r>
    </w:p>
    <w:p w14:paraId="1B1A0805">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Cs/>
          <w:sz w:val="24"/>
          <w:highlight w:val="none"/>
        </w:rPr>
      </w:pPr>
      <w:r>
        <w:rPr>
          <w:rFonts w:hint="eastAsia" w:ascii="宋体" w:hAnsi="宋体" w:cs="宋体"/>
          <w:bCs/>
          <w:sz w:val="24"/>
          <w:highlight w:val="none"/>
        </w:rPr>
        <w:t>（1）强制节能产品（如不涉及，可不提供）</w:t>
      </w:r>
    </w:p>
    <w:p w14:paraId="1B76B0EB">
      <w:pPr>
        <w:keepNext w:val="0"/>
        <w:keepLines w:val="0"/>
        <w:pageBreakBefore w:val="0"/>
        <w:widowControl w:val="0"/>
        <w:kinsoku/>
        <w:overflowPunct/>
        <w:topLinePunct/>
        <w:bidi w:val="0"/>
        <w:adjustRightInd w:val="0"/>
        <w:snapToGrid w:val="0"/>
        <w:spacing w:line="360" w:lineRule="auto"/>
        <w:ind w:firstLine="562"/>
        <w:jc w:val="center"/>
        <w:rPr>
          <w:b/>
          <w:kern w:val="0"/>
          <w:sz w:val="28"/>
          <w:szCs w:val="28"/>
          <w:highlight w:val="none"/>
        </w:rPr>
      </w:pPr>
      <w:r>
        <w:rPr>
          <w:rFonts w:hint="eastAsia"/>
          <w:b/>
          <w:kern w:val="0"/>
          <w:sz w:val="28"/>
          <w:szCs w:val="28"/>
          <w:highlight w:val="none"/>
        </w:rPr>
        <w:t>强制节能产品明细表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35"/>
        <w:gridCol w:w="1008"/>
        <w:gridCol w:w="1287"/>
        <w:gridCol w:w="1478"/>
        <w:gridCol w:w="1556"/>
        <w:gridCol w:w="1683"/>
      </w:tblGrid>
      <w:tr w14:paraId="0975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5C38744E">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hint="eastAsia" w:ascii="宋体" w:hAnsi="宋体" w:cs="宋体"/>
                <w:b/>
                <w:szCs w:val="21"/>
                <w:highlight w:val="none"/>
              </w:rPr>
              <w:t>包号</w:t>
            </w:r>
          </w:p>
        </w:tc>
        <w:tc>
          <w:tcPr>
            <w:tcW w:w="1035" w:type="dxa"/>
            <w:vAlign w:val="center"/>
          </w:tcPr>
          <w:p w14:paraId="46BFB92B">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hint="eastAsia" w:ascii="宋体" w:hAnsi="宋体" w:cs="宋体"/>
                <w:b/>
                <w:szCs w:val="21"/>
                <w:highlight w:val="none"/>
              </w:rPr>
              <w:t>产品名称</w:t>
            </w:r>
          </w:p>
        </w:tc>
        <w:tc>
          <w:tcPr>
            <w:tcW w:w="1008" w:type="dxa"/>
            <w:vAlign w:val="center"/>
          </w:tcPr>
          <w:p w14:paraId="7D161E45">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hint="eastAsia" w:ascii="宋体" w:hAnsi="宋体" w:cs="宋体"/>
                <w:b/>
                <w:szCs w:val="21"/>
                <w:highlight w:val="none"/>
              </w:rPr>
              <w:t>制造商</w:t>
            </w:r>
          </w:p>
        </w:tc>
        <w:tc>
          <w:tcPr>
            <w:tcW w:w="1287" w:type="dxa"/>
            <w:vAlign w:val="center"/>
          </w:tcPr>
          <w:p w14:paraId="4011317B">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hint="eastAsia" w:ascii="宋体" w:hAnsi="宋体" w:cs="宋体"/>
                <w:b/>
                <w:szCs w:val="21"/>
                <w:highlight w:val="none"/>
              </w:rPr>
              <w:t>产品型号</w:t>
            </w:r>
          </w:p>
        </w:tc>
        <w:tc>
          <w:tcPr>
            <w:tcW w:w="1478" w:type="dxa"/>
            <w:vAlign w:val="center"/>
          </w:tcPr>
          <w:p w14:paraId="39C7C1BC">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hint="eastAsia" w:ascii="宋体" w:hAnsi="宋体" w:cs="宋体"/>
                <w:b/>
                <w:szCs w:val="21"/>
                <w:highlight w:val="none"/>
              </w:rPr>
              <w:t>节能产品认证证书号</w:t>
            </w:r>
          </w:p>
        </w:tc>
        <w:tc>
          <w:tcPr>
            <w:tcW w:w="1556" w:type="dxa"/>
            <w:vAlign w:val="center"/>
          </w:tcPr>
          <w:p w14:paraId="18A58FD6">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hint="eastAsia" w:ascii="宋体" w:hAnsi="宋体" w:cs="宋体"/>
                <w:b/>
                <w:szCs w:val="21"/>
                <w:highlight w:val="none"/>
              </w:rPr>
              <w:t>认证证书有效截止日期</w:t>
            </w:r>
          </w:p>
        </w:tc>
        <w:tc>
          <w:tcPr>
            <w:tcW w:w="1683" w:type="dxa"/>
            <w:vAlign w:val="center"/>
          </w:tcPr>
          <w:p w14:paraId="500E69DC">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hint="eastAsia" w:ascii="宋体" w:hAnsi="宋体" w:cs="宋体"/>
                <w:b/>
                <w:szCs w:val="21"/>
                <w:highlight w:val="none"/>
              </w:rPr>
              <w:t>认证机构名录</w:t>
            </w:r>
          </w:p>
        </w:tc>
      </w:tr>
      <w:tr w14:paraId="53A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06A1322B">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035" w:type="dxa"/>
          </w:tcPr>
          <w:p w14:paraId="3CBE05B5">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008" w:type="dxa"/>
          </w:tcPr>
          <w:p w14:paraId="7F06FEE8">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287" w:type="dxa"/>
          </w:tcPr>
          <w:p w14:paraId="69BF2EEB">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478" w:type="dxa"/>
          </w:tcPr>
          <w:p w14:paraId="4C0E8B8D">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556" w:type="dxa"/>
          </w:tcPr>
          <w:p w14:paraId="3AD60355">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683" w:type="dxa"/>
          </w:tcPr>
          <w:p w14:paraId="1FB5CAA8">
            <w:pPr>
              <w:keepNext w:val="0"/>
              <w:keepLines w:val="0"/>
              <w:pageBreakBefore w:val="0"/>
              <w:widowControl w:val="0"/>
              <w:kinsoku/>
              <w:overflowPunct/>
              <w:topLinePunct/>
              <w:bidi w:val="0"/>
              <w:adjustRightInd w:val="0"/>
              <w:snapToGrid w:val="0"/>
              <w:rPr>
                <w:rFonts w:ascii="宋体" w:hAnsi="宋体" w:cs="宋体"/>
                <w:b/>
                <w:sz w:val="24"/>
                <w:highlight w:val="none"/>
              </w:rPr>
            </w:pPr>
          </w:p>
        </w:tc>
      </w:tr>
      <w:tr w14:paraId="39D4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7" w:type="dxa"/>
          </w:tcPr>
          <w:p w14:paraId="2C05B7C8">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035" w:type="dxa"/>
          </w:tcPr>
          <w:p w14:paraId="0F3075F0">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008" w:type="dxa"/>
          </w:tcPr>
          <w:p w14:paraId="6365A445">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287" w:type="dxa"/>
          </w:tcPr>
          <w:p w14:paraId="46570518">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478" w:type="dxa"/>
          </w:tcPr>
          <w:p w14:paraId="5014438D">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556" w:type="dxa"/>
          </w:tcPr>
          <w:p w14:paraId="3E82FAC0">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683" w:type="dxa"/>
          </w:tcPr>
          <w:p w14:paraId="467A3B9D">
            <w:pPr>
              <w:keepNext w:val="0"/>
              <w:keepLines w:val="0"/>
              <w:pageBreakBefore w:val="0"/>
              <w:widowControl w:val="0"/>
              <w:kinsoku/>
              <w:overflowPunct/>
              <w:topLinePunct/>
              <w:bidi w:val="0"/>
              <w:adjustRightInd w:val="0"/>
              <w:snapToGrid w:val="0"/>
              <w:rPr>
                <w:rFonts w:ascii="宋体" w:hAnsi="宋体" w:cs="宋体"/>
                <w:b/>
                <w:sz w:val="24"/>
                <w:highlight w:val="none"/>
              </w:rPr>
            </w:pPr>
          </w:p>
        </w:tc>
      </w:tr>
      <w:tr w14:paraId="2A01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7" w:type="dxa"/>
          </w:tcPr>
          <w:p w14:paraId="3EB269DD">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035" w:type="dxa"/>
          </w:tcPr>
          <w:p w14:paraId="24A0AC06">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008" w:type="dxa"/>
          </w:tcPr>
          <w:p w14:paraId="48B9F5A5">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287" w:type="dxa"/>
          </w:tcPr>
          <w:p w14:paraId="69CD487B">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478" w:type="dxa"/>
          </w:tcPr>
          <w:p w14:paraId="6B4E2E7B">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556" w:type="dxa"/>
          </w:tcPr>
          <w:p w14:paraId="5DDE2D92">
            <w:pPr>
              <w:keepNext w:val="0"/>
              <w:keepLines w:val="0"/>
              <w:pageBreakBefore w:val="0"/>
              <w:widowControl w:val="0"/>
              <w:kinsoku/>
              <w:overflowPunct/>
              <w:topLinePunct/>
              <w:bidi w:val="0"/>
              <w:adjustRightInd w:val="0"/>
              <w:snapToGrid w:val="0"/>
              <w:rPr>
                <w:rFonts w:ascii="宋体" w:hAnsi="宋体" w:cs="宋体"/>
                <w:b/>
                <w:sz w:val="24"/>
                <w:highlight w:val="none"/>
              </w:rPr>
            </w:pPr>
          </w:p>
        </w:tc>
        <w:tc>
          <w:tcPr>
            <w:tcW w:w="1683" w:type="dxa"/>
          </w:tcPr>
          <w:p w14:paraId="400F4069">
            <w:pPr>
              <w:keepNext w:val="0"/>
              <w:keepLines w:val="0"/>
              <w:pageBreakBefore w:val="0"/>
              <w:widowControl w:val="0"/>
              <w:kinsoku/>
              <w:overflowPunct/>
              <w:topLinePunct/>
              <w:bidi w:val="0"/>
              <w:adjustRightInd w:val="0"/>
              <w:snapToGrid w:val="0"/>
              <w:rPr>
                <w:rFonts w:ascii="宋体" w:hAnsi="宋体" w:cs="宋体"/>
                <w:b/>
                <w:sz w:val="24"/>
                <w:highlight w:val="none"/>
              </w:rPr>
            </w:pPr>
          </w:p>
        </w:tc>
      </w:tr>
    </w:tbl>
    <w:p w14:paraId="20EAC511">
      <w:pPr>
        <w:keepNext w:val="0"/>
        <w:keepLines w:val="0"/>
        <w:pageBreakBefore w:val="0"/>
        <w:widowControl w:val="0"/>
        <w:tabs>
          <w:tab w:val="left" w:pos="1680"/>
        </w:tabs>
        <w:kinsoku/>
        <w:overflowPunct/>
        <w:topLinePunct/>
        <w:bidi w:val="0"/>
        <w:adjustRightInd w:val="0"/>
        <w:snapToGrid w:val="0"/>
        <w:rPr>
          <w:rFonts w:ascii="宋体" w:hAnsi="宋体" w:cs="宋体"/>
          <w:bCs/>
          <w:sz w:val="24"/>
          <w:highlight w:val="none"/>
        </w:rPr>
      </w:pPr>
    </w:p>
    <w:p w14:paraId="4B6535F3">
      <w:pPr>
        <w:keepNext w:val="0"/>
        <w:keepLines w:val="0"/>
        <w:pageBreakBefore w:val="0"/>
        <w:widowControl w:val="0"/>
        <w:kinsoku/>
        <w:overflowPunct/>
        <w:topLinePunct/>
        <w:bidi w:val="0"/>
        <w:spacing w:line="360" w:lineRule="auto"/>
        <w:jc w:val="left"/>
        <w:rPr>
          <w:rFonts w:ascii="宋体" w:hAnsi="宋体" w:cs="宋体"/>
          <w:bCs/>
          <w:sz w:val="24"/>
          <w:highlight w:val="none"/>
        </w:rPr>
      </w:pPr>
      <w:r>
        <w:rPr>
          <w:rFonts w:hint="eastAsia" w:ascii="宋体" w:hAnsi="宋体" w:cs="宋体"/>
          <w:bCs/>
          <w:sz w:val="24"/>
          <w:highlight w:val="none"/>
        </w:rPr>
        <w:t>注：</w:t>
      </w:r>
    </w:p>
    <w:p w14:paraId="55063F42">
      <w:pPr>
        <w:keepNext w:val="0"/>
        <w:keepLines w:val="0"/>
        <w:pageBreakBefore w:val="0"/>
        <w:widowControl w:val="0"/>
        <w:kinsoku/>
        <w:overflowPunct/>
        <w:topLinePunct/>
        <w:bidi w:val="0"/>
        <w:spacing w:line="360" w:lineRule="auto"/>
        <w:ind w:firstLine="480" w:firstLineChars="200"/>
        <w:jc w:val="left"/>
        <w:rPr>
          <w:rFonts w:ascii="宋体" w:hAnsi="宋体" w:cs="宋体"/>
          <w:sz w:val="24"/>
          <w:highlight w:val="none"/>
        </w:rPr>
      </w:pPr>
      <w:r>
        <w:rPr>
          <w:rFonts w:hint="eastAsia" w:ascii="宋体" w:hAnsi="宋体" w:cs="宋体"/>
          <w:bCs/>
          <w:sz w:val="24"/>
          <w:highlight w:val="none"/>
        </w:rPr>
        <w:t>1.如采购项目（包）或报价货物中包含</w:t>
      </w:r>
      <w:r>
        <w:rPr>
          <w:rFonts w:hint="eastAsia" w:ascii="宋体" w:hAnsi="宋体" w:cs="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388D43FD">
      <w:pPr>
        <w:keepNext w:val="0"/>
        <w:keepLines w:val="0"/>
        <w:pageBreakBefore w:val="0"/>
        <w:widowControl w:val="0"/>
        <w:tabs>
          <w:tab w:val="left" w:pos="1680"/>
        </w:tabs>
        <w:kinsoku/>
        <w:overflowPunct/>
        <w:topLinePunct/>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2.以包为单位分别填写，如本项目（包）或报价货物中不涉及强制节能产品，可不提供此表。</w:t>
      </w:r>
    </w:p>
    <w:p w14:paraId="27B8ECED">
      <w:pPr>
        <w:keepNext w:val="0"/>
        <w:keepLines w:val="0"/>
        <w:pageBreakBefore w:val="0"/>
        <w:widowControl w:val="0"/>
        <w:tabs>
          <w:tab w:val="left" w:pos="1680"/>
        </w:tabs>
        <w:kinsoku/>
        <w:overflowPunct/>
        <w:topLinePunct/>
        <w:bidi w:val="0"/>
        <w:snapToGrid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w:t>
      </w:r>
      <w:r>
        <w:rPr>
          <w:rFonts w:hint="default" w:ascii="宋体" w:hAnsi="宋体" w:eastAsia="宋体" w:cs="宋体"/>
          <w:bCs/>
          <w:sz w:val="24"/>
          <w:highlight w:val="none"/>
        </w:rPr>
        <w:t>采购货物中如含国家互联网信息办公室会同工业和信息化部、公安部、国家认证认可监督管理委员会等部门</w:t>
      </w:r>
      <w:r>
        <w:rPr>
          <w:rFonts w:hint="default" w:ascii="宋体" w:hAnsi="宋体" w:eastAsia="宋体" w:cs="宋体"/>
          <w:bCs/>
          <w:sz w:val="24"/>
          <w:highlight w:val="none"/>
          <w:lang w:val="en-US" w:eastAsia="zh-CN"/>
        </w:rPr>
        <w:t>发布</w:t>
      </w:r>
      <w:r>
        <w:rPr>
          <w:rFonts w:hint="default" w:ascii="宋体" w:hAnsi="宋体" w:eastAsia="宋体" w:cs="宋体"/>
          <w:bCs/>
          <w:sz w:val="24"/>
          <w:highlight w:val="none"/>
        </w:rPr>
        <w:t>关于调整《网络关键设备和网络安全专用产品目录》的公告2023年第2号</w:t>
      </w:r>
      <w:r>
        <w:rPr>
          <w:rFonts w:hint="default" w:ascii="宋体" w:hAnsi="宋体" w:eastAsia="宋体" w:cs="宋体"/>
          <w:bCs/>
          <w:sz w:val="24"/>
          <w:highlight w:val="none"/>
          <w:lang w:val="en-US" w:eastAsia="zh-CN"/>
        </w:rPr>
        <w:t>公布的</w:t>
      </w:r>
      <w:r>
        <w:rPr>
          <w:rFonts w:hint="default" w:ascii="宋体" w:hAnsi="宋体" w:eastAsia="宋体" w:cs="宋体"/>
          <w:bCs/>
          <w:sz w:val="24"/>
          <w:highlight w:val="none"/>
        </w:rPr>
        <w:t>《网络关键设备和网络安全专用产品目录》</w:t>
      </w:r>
      <w:r>
        <w:rPr>
          <w:rFonts w:hint="default" w:ascii="宋体" w:hAnsi="宋体" w:eastAsia="宋体" w:cs="宋体"/>
          <w:bCs/>
          <w:sz w:val="24"/>
          <w:highlight w:val="none"/>
          <w:lang w:val="en-US" w:eastAsia="zh-CN"/>
        </w:rPr>
        <w:t>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w:t>
      </w:r>
      <w:r>
        <w:rPr>
          <w:rFonts w:hint="eastAsia" w:ascii="宋体" w:hAnsi="宋体" w:eastAsia="宋体" w:cs="宋体"/>
          <w:bCs/>
          <w:sz w:val="24"/>
          <w:highlight w:val="none"/>
          <w:lang w:val="en-US" w:eastAsia="zh-CN"/>
        </w:rPr>
        <w:t>附后</w:t>
      </w:r>
      <w:r>
        <w:rPr>
          <w:rFonts w:hint="default" w:ascii="宋体" w:hAnsi="宋体" w:eastAsia="宋体" w:cs="宋体"/>
          <w:bCs/>
          <w:sz w:val="24"/>
          <w:highlight w:val="none"/>
        </w:rPr>
        <w:t>。</w:t>
      </w:r>
    </w:p>
    <w:p w14:paraId="297448AB">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Cs/>
          <w:sz w:val="24"/>
          <w:highlight w:val="none"/>
        </w:rPr>
      </w:pPr>
      <w:r>
        <w:rPr>
          <w:rFonts w:ascii="宋体" w:hAnsi="宋体" w:cs="宋体"/>
          <w:bCs/>
          <w:sz w:val="24"/>
          <w:highlight w:val="none"/>
        </w:rPr>
        <w:br w:type="page"/>
      </w:r>
      <w:r>
        <w:rPr>
          <w:bCs/>
          <w:sz w:val="24"/>
          <w:highlight w:val="none"/>
        </w:rPr>
        <w:t>（2）非强制节能、环保标志产品</w:t>
      </w:r>
      <w:r>
        <w:rPr>
          <w:rFonts w:hint="eastAsia" w:ascii="宋体" w:hAnsi="宋体" w:cs="宋体"/>
          <w:bCs/>
          <w:sz w:val="24"/>
          <w:highlight w:val="none"/>
        </w:rPr>
        <w:t>（如不涉及，可不提供）</w:t>
      </w:r>
    </w:p>
    <w:p w14:paraId="51464BB2">
      <w:pPr>
        <w:keepNext w:val="0"/>
        <w:keepLines w:val="0"/>
        <w:pageBreakBefore w:val="0"/>
        <w:widowControl w:val="0"/>
        <w:tabs>
          <w:tab w:val="left" w:pos="1680"/>
        </w:tabs>
        <w:kinsoku/>
        <w:overflowPunct/>
        <w:topLinePunct/>
        <w:bidi w:val="0"/>
        <w:snapToGrid w:val="0"/>
        <w:spacing w:line="360" w:lineRule="auto"/>
        <w:ind w:firstLine="480"/>
        <w:rPr>
          <w:bCs/>
          <w:sz w:val="24"/>
          <w:highlight w:val="none"/>
        </w:rPr>
      </w:pPr>
    </w:p>
    <w:p w14:paraId="7A04FE61">
      <w:pPr>
        <w:keepNext w:val="0"/>
        <w:keepLines w:val="0"/>
        <w:pageBreakBefore w:val="0"/>
        <w:widowControl w:val="0"/>
        <w:kinsoku/>
        <w:overflowPunct/>
        <w:topLinePunct/>
        <w:bidi w:val="0"/>
        <w:adjustRightInd w:val="0"/>
        <w:snapToGrid w:val="0"/>
        <w:spacing w:line="360" w:lineRule="auto"/>
        <w:ind w:firstLine="562"/>
        <w:jc w:val="center"/>
        <w:rPr>
          <w:b/>
          <w:kern w:val="0"/>
          <w:sz w:val="28"/>
          <w:szCs w:val="28"/>
          <w:highlight w:val="none"/>
        </w:rPr>
      </w:pPr>
      <w:r>
        <w:rPr>
          <w:b/>
          <w:kern w:val="0"/>
          <w:sz w:val="28"/>
          <w:szCs w:val="28"/>
          <w:highlight w:val="none"/>
        </w:rPr>
        <w:t>非强制节能产品明细表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3"/>
        <w:gridCol w:w="1108"/>
        <w:gridCol w:w="1125"/>
        <w:gridCol w:w="1618"/>
        <w:gridCol w:w="1494"/>
        <w:gridCol w:w="1549"/>
      </w:tblGrid>
      <w:tr w14:paraId="481C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7" w:type="dxa"/>
            <w:vAlign w:val="center"/>
          </w:tcPr>
          <w:p w14:paraId="3B7C9D74">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包号</w:t>
            </w:r>
          </w:p>
        </w:tc>
        <w:tc>
          <w:tcPr>
            <w:tcW w:w="1243" w:type="dxa"/>
            <w:vAlign w:val="center"/>
          </w:tcPr>
          <w:p w14:paraId="12EAF021">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产品名称</w:t>
            </w:r>
          </w:p>
        </w:tc>
        <w:tc>
          <w:tcPr>
            <w:tcW w:w="1108" w:type="dxa"/>
            <w:vAlign w:val="center"/>
          </w:tcPr>
          <w:p w14:paraId="2A7302CB">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制造商</w:t>
            </w:r>
          </w:p>
        </w:tc>
        <w:tc>
          <w:tcPr>
            <w:tcW w:w="1125" w:type="dxa"/>
            <w:vAlign w:val="center"/>
          </w:tcPr>
          <w:p w14:paraId="79A88191">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产品型号</w:t>
            </w:r>
          </w:p>
        </w:tc>
        <w:tc>
          <w:tcPr>
            <w:tcW w:w="1618" w:type="dxa"/>
            <w:vAlign w:val="center"/>
          </w:tcPr>
          <w:p w14:paraId="0A02190C">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节能产品认证证书号</w:t>
            </w:r>
          </w:p>
        </w:tc>
        <w:tc>
          <w:tcPr>
            <w:tcW w:w="1494" w:type="dxa"/>
            <w:vAlign w:val="center"/>
          </w:tcPr>
          <w:p w14:paraId="69A93396">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认证证书有效截止日期</w:t>
            </w:r>
          </w:p>
        </w:tc>
        <w:tc>
          <w:tcPr>
            <w:tcW w:w="1549" w:type="dxa"/>
            <w:vAlign w:val="center"/>
          </w:tcPr>
          <w:p w14:paraId="103F76C3">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认证机构名称</w:t>
            </w:r>
          </w:p>
        </w:tc>
      </w:tr>
      <w:tr w14:paraId="569E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75C7E3A4">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243" w:type="dxa"/>
          </w:tcPr>
          <w:p w14:paraId="133E5032">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108" w:type="dxa"/>
          </w:tcPr>
          <w:p w14:paraId="189F8E91">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125" w:type="dxa"/>
          </w:tcPr>
          <w:p w14:paraId="5BD989D6">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618" w:type="dxa"/>
          </w:tcPr>
          <w:p w14:paraId="4702D3A7">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494" w:type="dxa"/>
          </w:tcPr>
          <w:p w14:paraId="26EE98B2">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549" w:type="dxa"/>
          </w:tcPr>
          <w:p w14:paraId="518D6FF0">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r>
      <w:tr w14:paraId="35C3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494BECC5">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243" w:type="dxa"/>
          </w:tcPr>
          <w:p w14:paraId="50E8A6E7">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108" w:type="dxa"/>
          </w:tcPr>
          <w:p w14:paraId="0E9A7CF2">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125" w:type="dxa"/>
          </w:tcPr>
          <w:p w14:paraId="4116C0AE">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618" w:type="dxa"/>
          </w:tcPr>
          <w:p w14:paraId="46EF7961">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494" w:type="dxa"/>
          </w:tcPr>
          <w:p w14:paraId="682FC22E">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549" w:type="dxa"/>
          </w:tcPr>
          <w:p w14:paraId="724DB5D4">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r>
      <w:tr w14:paraId="2F16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7" w:type="dxa"/>
          </w:tcPr>
          <w:p w14:paraId="3C8DBCFA">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243" w:type="dxa"/>
          </w:tcPr>
          <w:p w14:paraId="07ABD59B">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108" w:type="dxa"/>
          </w:tcPr>
          <w:p w14:paraId="5A8D23FE">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125" w:type="dxa"/>
          </w:tcPr>
          <w:p w14:paraId="7DCF9D14">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618" w:type="dxa"/>
          </w:tcPr>
          <w:p w14:paraId="2EEE029D">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494" w:type="dxa"/>
          </w:tcPr>
          <w:p w14:paraId="2E6275E0">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549" w:type="dxa"/>
          </w:tcPr>
          <w:p w14:paraId="7646101A">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r>
    </w:tbl>
    <w:p w14:paraId="48AF0BC0">
      <w:pPr>
        <w:keepNext w:val="0"/>
        <w:keepLines w:val="0"/>
        <w:pageBreakBefore w:val="0"/>
        <w:widowControl w:val="0"/>
        <w:kinsoku/>
        <w:overflowPunct/>
        <w:topLinePunct/>
        <w:bidi w:val="0"/>
        <w:adjustRightInd w:val="0"/>
        <w:snapToGrid w:val="0"/>
        <w:spacing w:line="360" w:lineRule="auto"/>
        <w:ind w:firstLine="562"/>
        <w:jc w:val="center"/>
        <w:rPr>
          <w:b/>
          <w:kern w:val="0"/>
          <w:sz w:val="28"/>
          <w:szCs w:val="28"/>
          <w:highlight w:val="none"/>
        </w:rPr>
      </w:pPr>
    </w:p>
    <w:p w14:paraId="2DFA4E0C">
      <w:pPr>
        <w:keepNext w:val="0"/>
        <w:keepLines w:val="0"/>
        <w:pageBreakBefore w:val="0"/>
        <w:widowControl w:val="0"/>
        <w:kinsoku/>
        <w:overflowPunct/>
        <w:topLinePunct/>
        <w:bidi w:val="0"/>
        <w:adjustRightInd w:val="0"/>
        <w:snapToGrid w:val="0"/>
        <w:spacing w:line="360" w:lineRule="auto"/>
        <w:ind w:firstLine="562"/>
        <w:jc w:val="center"/>
        <w:rPr>
          <w:b/>
          <w:kern w:val="0"/>
          <w:sz w:val="28"/>
          <w:szCs w:val="28"/>
          <w:highlight w:val="none"/>
        </w:rPr>
      </w:pPr>
      <w:r>
        <w:rPr>
          <w:b/>
          <w:kern w:val="0"/>
          <w:sz w:val="28"/>
          <w:szCs w:val="28"/>
          <w:highlight w:val="none"/>
        </w:rPr>
        <w:t>环境标志产品明细表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53"/>
        <w:gridCol w:w="918"/>
        <w:gridCol w:w="990"/>
        <w:gridCol w:w="1098"/>
        <w:gridCol w:w="1511"/>
        <w:gridCol w:w="1352"/>
        <w:gridCol w:w="1259"/>
      </w:tblGrid>
      <w:tr w14:paraId="7EC0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33D4AB5A">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包号</w:t>
            </w:r>
          </w:p>
        </w:tc>
        <w:tc>
          <w:tcPr>
            <w:tcW w:w="1053" w:type="dxa"/>
            <w:vAlign w:val="center"/>
          </w:tcPr>
          <w:p w14:paraId="7BA463ED">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产品名称</w:t>
            </w:r>
          </w:p>
        </w:tc>
        <w:tc>
          <w:tcPr>
            <w:tcW w:w="918" w:type="dxa"/>
            <w:vAlign w:val="center"/>
          </w:tcPr>
          <w:p w14:paraId="1ABCEF96">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制造商</w:t>
            </w:r>
          </w:p>
        </w:tc>
        <w:tc>
          <w:tcPr>
            <w:tcW w:w="990" w:type="dxa"/>
            <w:vAlign w:val="center"/>
          </w:tcPr>
          <w:p w14:paraId="31067475">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注册商标</w:t>
            </w:r>
          </w:p>
        </w:tc>
        <w:tc>
          <w:tcPr>
            <w:tcW w:w="1098" w:type="dxa"/>
            <w:vAlign w:val="center"/>
          </w:tcPr>
          <w:p w14:paraId="12464860">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产品型号</w:t>
            </w:r>
          </w:p>
        </w:tc>
        <w:tc>
          <w:tcPr>
            <w:tcW w:w="1511" w:type="dxa"/>
            <w:vAlign w:val="center"/>
          </w:tcPr>
          <w:p w14:paraId="7DF18843">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环境标志产品认证证书号</w:t>
            </w:r>
          </w:p>
        </w:tc>
        <w:tc>
          <w:tcPr>
            <w:tcW w:w="1352" w:type="dxa"/>
            <w:vAlign w:val="center"/>
          </w:tcPr>
          <w:p w14:paraId="04A64FCC">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认证证书有效截止日期</w:t>
            </w:r>
          </w:p>
        </w:tc>
        <w:tc>
          <w:tcPr>
            <w:tcW w:w="1259" w:type="dxa"/>
            <w:vAlign w:val="center"/>
          </w:tcPr>
          <w:p w14:paraId="29B98EBC">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认证机构名称</w:t>
            </w:r>
          </w:p>
        </w:tc>
      </w:tr>
      <w:tr w14:paraId="27A2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27CF5A0">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053" w:type="dxa"/>
          </w:tcPr>
          <w:p w14:paraId="001EC80E">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918" w:type="dxa"/>
          </w:tcPr>
          <w:p w14:paraId="0A2F8EC8">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990" w:type="dxa"/>
          </w:tcPr>
          <w:p w14:paraId="1A8BEDDD">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098" w:type="dxa"/>
          </w:tcPr>
          <w:p w14:paraId="5B8C2D98">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511" w:type="dxa"/>
          </w:tcPr>
          <w:p w14:paraId="25892D4F">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352" w:type="dxa"/>
          </w:tcPr>
          <w:p w14:paraId="57DD3A6B">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259" w:type="dxa"/>
          </w:tcPr>
          <w:p w14:paraId="60E8255C">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r>
      <w:tr w14:paraId="45F8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0AE05AC1">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053" w:type="dxa"/>
          </w:tcPr>
          <w:p w14:paraId="494C8971">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918" w:type="dxa"/>
          </w:tcPr>
          <w:p w14:paraId="02EC0BEB">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990" w:type="dxa"/>
          </w:tcPr>
          <w:p w14:paraId="3BAF3EEC">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098" w:type="dxa"/>
          </w:tcPr>
          <w:p w14:paraId="0902CF33">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511" w:type="dxa"/>
          </w:tcPr>
          <w:p w14:paraId="022A99D7">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352" w:type="dxa"/>
          </w:tcPr>
          <w:p w14:paraId="7B8EEFA9">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259" w:type="dxa"/>
          </w:tcPr>
          <w:p w14:paraId="67503931">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r>
      <w:tr w14:paraId="0503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71A7ED9D">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053" w:type="dxa"/>
          </w:tcPr>
          <w:p w14:paraId="5EEFDC4B">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918" w:type="dxa"/>
          </w:tcPr>
          <w:p w14:paraId="33401D97">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990" w:type="dxa"/>
          </w:tcPr>
          <w:p w14:paraId="56CEDB07">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098" w:type="dxa"/>
          </w:tcPr>
          <w:p w14:paraId="7763D53C">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511" w:type="dxa"/>
          </w:tcPr>
          <w:p w14:paraId="323322C7">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352" w:type="dxa"/>
          </w:tcPr>
          <w:p w14:paraId="53B38350">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259" w:type="dxa"/>
          </w:tcPr>
          <w:p w14:paraId="0857C458">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r>
    </w:tbl>
    <w:p w14:paraId="23D2CFCE">
      <w:pPr>
        <w:keepNext w:val="0"/>
        <w:keepLines w:val="0"/>
        <w:pageBreakBefore w:val="0"/>
        <w:widowControl w:val="0"/>
        <w:kinsoku/>
        <w:overflowPunct/>
        <w:topLinePunct/>
        <w:bidi w:val="0"/>
        <w:snapToGrid w:val="0"/>
        <w:spacing w:line="360" w:lineRule="auto"/>
        <w:ind w:firstLine="480"/>
        <w:jc w:val="left"/>
        <w:rPr>
          <w:sz w:val="24"/>
          <w:highlight w:val="none"/>
        </w:rPr>
      </w:pPr>
    </w:p>
    <w:p w14:paraId="6CE60A07">
      <w:pPr>
        <w:keepNext w:val="0"/>
        <w:keepLines w:val="0"/>
        <w:pageBreakBefore w:val="0"/>
        <w:widowControl w:val="0"/>
        <w:kinsoku/>
        <w:overflowPunct/>
        <w:topLinePunct/>
        <w:bidi w:val="0"/>
        <w:snapToGrid w:val="0"/>
        <w:spacing w:line="360" w:lineRule="auto"/>
        <w:ind w:firstLine="480"/>
        <w:jc w:val="left"/>
        <w:rPr>
          <w:sz w:val="24"/>
          <w:highlight w:val="none"/>
        </w:rPr>
      </w:pPr>
      <w:r>
        <w:rPr>
          <w:sz w:val="24"/>
          <w:highlight w:val="none"/>
        </w:rPr>
        <w:t>注：</w:t>
      </w:r>
    </w:p>
    <w:p w14:paraId="1EFEF11A">
      <w:pPr>
        <w:keepNext w:val="0"/>
        <w:keepLines w:val="0"/>
        <w:pageBreakBefore w:val="0"/>
        <w:widowControl w:val="0"/>
        <w:kinsoku/>
        <w:overflowPunct/>
        <w:topLinePunct/>
        <w:bidi w:val="0"/>
        <w:snapToGrid w:val="0"/>
        <w:spacing w:line="360" w:lineRule="auto"/>
        <w:ind w:firstLine="480" w:firstLineChars="200"/>
        <w:jc w:val="left"/>
        <w:rPr>
          <w:sz w:val="24"/>
          <w:highlight w:val="none"/>
        </w:rPr>
      </w:pPr>
      <w:r>
        <w:rPr>
          <w:rFonts w:hint="eastAsia"/>
          <w:sz w:val="24"/>
          <w:highlight w:val="none"/>
        </w:rPr>
        <w:t>报价</w:t>
      </w:r>
      <w:r>
        <w:rPr>
          <w:sz w:val="24"/>
          <w:highlight w:val="none"/>
        </w:rPr>
        <w:t>货物中如含有非强制节能、环境标志产品的，</w:t>
      </w:r>
      <w:r>
        <w:rPr>
          <w:rFonts w:hint="eastAsia"/>
          <w:sz w:val="24"/>
          <w:highlight w:val="none"/>
        </w:rPr>
        <w:t>需</w:t>
      </w:r>
      <w:r>
        <w:rPr>
          <w:sz w:val="24"/>
          <w:highlight w:val="none"/>
        </w:rPr>
        <w:t>如实填写</w:t>
      </w:r>
      <w:r>
        <w:rPr>
          <w:rFonts w:hint="eastAsia"/>
          <w:sz w:val="24"/>
          <w:highlight w:val="none"/>
        </w:rPr>
        <w:t>，并</w:t>
      </w:r>
      <w:r>
        <w:rPr>
          <w:rFonts w:hint="eastAsia" w:ascii="宋体" w:hAnsi="宋体" w:cs="宋体"/>
          <w:sz w:val="24"/>
          <w:highlight w:val="none"/>
        </w:rPr>
        <w:t>提供获得国家确定的认证机构出具的处于有效期之内</w:t>
      </w:r>
      <w:r>
        <w:rPr>
          <w:rFonts w:hint="eastAsia"/>
          <w:sz w:val="24"/>
          <w:highlight w:val="none"/>
        </w:rPr>
        <w:t>认证证书，否则不予认可。</w:t>
      </w:r>
    </w:p>
    <w:p w14:paraId="15917AD8">
      <w:pPr>
        <w:keepNext w:val="0"/>
        <w:keepLines w:val="0"/>
        <w:pageBreakBefore w:val="0"/>
        <w:widowControl w:val="0"/>
        <w:tabs>
          <w:tab w:val="left" w:pos="1680"/>
        </w:tabs>
        <w:kinsoku/>
        <w:overflowPunct/>
        <w:topLinePunct/>
        <w:bidi w:val="0"/>
        <w:adjustRightInd w:val="0"/>
        <w:snapToGrid w:val="0"/>
        <w:spacing w:line="360" w:lineRule="auto"/>
        <w:ind w:firstLine="480"/>
        <w:outlineLvl w:val="2"/>
        <w:rPr>
          <w:rFonts w:ascii="宋体" w:hAnsi="宋体" w:cs="宋体"/>
          <w:b/>
          <w:kern w:val="0"/>
          <w:sz w:val="24"/>
          <w:highlight w:val="none"/>
        </w:rPr>
      </w:pPr>
      <w:r>
        <w:rPr>
          <w:bCs/>
          <w:sz w:val="24"/>
          <w:highlight w:val="none"/>
        </w:rPr>
        <w:br w:type="page"/>
      </w:r>
      <w:r>
        <w:rPr>
          <w:rFonts w:hint="eastAsia" w:ascii="宋体" w:hAnsi="宋体" w:cs="宋体"/>
          <w:b/>
          <w:kern w:val="0"/>
          <w:sz w:val="24"/>
          <w:highlight w:val="none"/>
        </w:rPr>
        <w:t>（二）网络安全专用产品（如不涉及，可不提供）</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5AA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E553334">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包号</w:t>
            </w:r>
          </w:p>
        </w:tc>
        <w:tc>
          <w:tcPr>
            <w:tcW w:w="1351" w:type="dxa"/>
            <w:vAlign w:val="center"/>
          </w:tcPr>
          <w:p w14:paraId="60B43A1A">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产品名称</w:t>
            </w:r>
          </w:p>
        </w:tc>
        <w:tc>
          <w:tcPr>
            <w:tcW w:w="1560" w:type="dxa"/>
            <w:vAlign w:val="center"/>
          </w:tcPr>
          <w:p w14:paraId="689ECA7B">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制造商</w:t>
            </w:r>
          </w:p>
        </w:tc>
        <w:tc>
          <w:tcPr>
            <w:tcW w:w="1234" w:type="dxa"/>
            <w:vAlign w:val="center"/>
          </w:tcPr>
          <w:p w14:paraId="1678A4ED">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注册商标</w:t>
            </w:r>
          </w:p>
        </w:tc>
        <w:tc>
          <w:tcPr>
            <w:tcW w:w="1146" w:type="dxa"/>
            <w:vAlign w:val="center"/>
          </w:tcPr>
          <w:p w14:paraId="041A2924">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产品型号</w:t>
            </w:r>
          </w:p>
        </w:tc>
        <w:tc>
          <w:tcPr>
            <w:tcW w:w="1729" w:type="dxa"/>
            <w:vAlign w:val="center"/>
          </w:tcPr>
          <w:p w14:paraId="525AF856">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hint="eastAsia" w:ascii="宋体" w:hAnsi="宋体" w:cs="宋体"/>
                <w:b/>
                <w:szCs w:val="21"/>
                <w:highlight w:val="none"/>
              </w:rPr>
              <w:t>合格或许可证号</w:t>
            </w:r>
          </w:p>
        </w:tc>
        <w:tc>
          <w:tcPr>
            <w:tcW w:w="1259" w:type="dxa"/>
            <w:vAlign w:val="center"/>
          </w:tcPr>
          <w:p w14:paraId="661C1F98">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r>
              <w:rPr>
                <w:rFonts w:ascii="宋体" w:hAnsi="宋体" w:cs="宋体"/>
                <w:b/>
                <w:szCs w:val="21"/>
                <w:highlight w:val="none"/>
              </w:rPr>
              <w:t>认证机构名称</w:t>
            </w:r>
          </w:p>
        </w:tc>
      </w:tr>
      <w:tr w14:paraId="4EE7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7F408086">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351" w:type="dxa"/>
          </w:tcPr>
          <w:p w14:paraId="3FEE0B56">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560" w:type="dxa"/>
          </w:tcPr>
          <w:p w14:paraId="067193CF">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234" w:type="dxa"/>
          </w:tcPr>
          <w:p w14:paraId="311F601C">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146" w:type="dxa"/>
          </w:tcPr>
          <w:p w14:paraId="336AD15C">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729" w:type="dxa"/>
          </w:tcPr>
          <w:p w14:paraId="78BE73D2">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259" w:type="dxa"/>
          </w:tcPr>
          <w:p w14:paraId="63456F15">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r>
      <w:tr w14:paraId="7D69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5272E764">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351" w:type="dxa"/>
          </w:tcPr>
          <w:p w14:paraId="075BF323">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560" w:type="dxa"/>
          </w:tcPr>
          <w:p w14:paraId="4BF9FE7B">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234" w:type="dxa"/>
          </w:tcPr>
          <w:p w14:paraId="3A6B1C45">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146" w:type="dxa"/>
          </w:tcPr>
          <w:p w14:paraId="382ED0D0">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729" w:type="dxa"/>
          </w:tcPr>
          <w:p w14:paraId="4344232D">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c>
          <w:tcPr>
            <w:tcW w:w="1259" w:type="dxa"/>
          </w:tcPr>
          <w:p w14:paraId="39624475">
            <w:pPr>
              <w:keepNext w:val="0"/>
              <w:keepLines w:val="0"/>
              <w:pageBreakBefore w:val="0"/>
              <w:widowControl w:val="0"/>
              <w:kinsoku/>
              <w:overflowPunct/>
              <w:topLinePunct/>
              <w:bidi w:val="0"/>
              <w:adjustRightInd w:val="0"/>
              <w:snapToGrid w:val="0"/>
              <w:jc w:val="center"/>
              <w:rPr>
                <w:rFonts w:ascii="宋体" w:hAnsi="宋体" w:cs="宋体"/>
                <w:b/>
                <w:szCs w:val="21"/>
                <w:highlight w:val="none"/>
              </w:rPr>
            </w:pPr>
          </w:p>
        </w:tc>
      </w:tr>
      <w:tr w14:paraId="1A24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479370F8">
            <w:pPr>
              <w:keepNext w:val="0"/>
              <w:keepLines w:val="0"/>
              <w:pageBreakBefore w:val="0"/>
              <w:widowControl w:val="0"/>
              <w:kinsoku/>
              <w:overflowPunct/>
              <w:topLinePunct/>
              <w:bidi w:val="0"/>
              <w:spacing w:line="360" w:lineRule="auto"/>
              <w:ind w:firstLine="422"/>
              <w:jc w:val="center"/>
              <w:rPr>
                <w:b/>
                <w:szCs w:val="21"/>
                <w:highlight w:val="none"/>
              </w:rPr>
            </w:pPr>
          </w:p>
        </w:tc>
        <w:tc>
          <w:tcPr>
            <w:tcW w:w="1351" w:type="dxa"/>
          </w:tcPr>
          <w:p w14:paraId="7884EB99">
            <w:pPr>
              <w:keepNext w:val="0"/>
              <w:keepLines w:val="0"/>
              <w:pageBreakBefore w:val="0"/>
              <w:widowControl w:val="0"/>
              <w:kinsoku/>
              <w:overflowPunct/>
              <w:topLinePunct/>
              <w:bidi w:val="0"/>
              <w:spacing w:line="360" w:lineRule="auto"/>
              <w:ind w:firstLine="422"/>
              <w:jc w:val="center"/>
              <w:rPr>
                <w:b/>
                <w:szCs w:val="21"/>
                <w:highlight w:val="none"/>
              </w:rPr>
            </w:pPr>
          </w:p>
        </w:tc>
        <w:tc>
          <w:tcPr>
            <w:tcW w:w="1560" w:type="dxa"/>
          </w:tcPr>
          <w:p w14:paraId="03462000">
            <w:pPr>
              <w:keepNext w:val="0"/>
              <w:keepLines w:val="0"/>
              <w:pageBreakBefore w:val="0"/>
              <w:widowControl w:val="0"/>
              <w:kinsoku/>
              <w:overflowPunct/>
              <w:topLinePunct/>
              <w:bidi w:val="0"/>
              <w:spacing w:line="360" w:lineRule="auto"/>
              <w:ind w:firstLine="422"/>
              <w:jc w:val="center"/>
              <w:rPr>
                <w:b/>
                <w:szCs w:val="21"/>
                <w:highlight w:val="none"/>
              </w:rPr>
            </w:pPr>
          </w:p>
        </w:tc>
        <w:tc>
          <w:tcPr>
            <w:tcW w:w="1234" w:type="dxa"/>
          </w:tcPr>
          <w:p w14:paraId="2A9FD063">
            <w:pPr>
              <w:keepNext w:val="0"/>
              <w:keepLines w:val="0"/>
              <w:pageBreakBefore w:val="0"/>
              <w:widowControl w:val="0"/>
              <w:kinsoku/>
              <w:overflowPunct/>
              <w:topLinePunct/>
              <w:bidi w:val="0"/>
              <w:spacing w:line="360" w:lineRule="auto"/>
              <w:ind w:firstLine="422"/>
              <w:jc w:val="center"/>
              <w:rPr>
                <w:b/>
                <w:szCs w:val="21"/>
                <w:highlight w:val="none"/>
              </w:rPr>
            </w:pPr>
          </w:p>
        </w:tc>
        <w:tc>
          <w:tcPr>
            <w:tcW w:w="1146" w:type="dxa"/>
          </w:tcPr>
          <w:p w14:paraId="593E4352">
            <w:pPr>
              <w:keepNext w:val="0"/>
              <w:keepLines w:val="0"/>
              <w:pageBreakBefore w:val="0"/>
              <w:widowControl w:val="0"/>
              <w:kinsoku/>
              <w:overflowPunct/>
              <w:topLinePunct/>
              <w:bidi w:val="0"/>
              <w:spacing w:line="360" w:lineRule="auto"/>
              <w:ind w:firstLine="422"/>
              <w:jc w:val="center"/>
              <w:rPr>
                <w:b/>
                <w:szCs w:val="21"/>
                <w:highlight w:val="none"/>
              </w:rPr>
            </w:pPr>
          </w:p>
        </w:tc>
        <w:tc>
          <w:tcPr>
            <w:tcW w:w="1729" w:type="dxa"/>
          </w:tcPr>
          <w:p w14:paraId="6C841853">
            <w:pPr>
              <w:keepNext w:val="0"/>
              <w:keepLines w:val="0"/>
              <w:pageBreakBefore w:val="0"/>
              <w:widowControl w:val="0"/>
              <w:kinsoku/>
              <w:overflowPunct/>
              <w:topLinePunct/>
              <w:bidi w:val="0"/>
              <w:spacing w:line="360" w:lineRule="auto"/>
              <w:ind w:firstLine="422"/>
              <w:jc w:val="center"/>
              <w:rPr>
                <w:b/>
                <w:szCs w:val="21"/>
                <w:highlight w:val="none"/>
              </w:rPr>
            </w:pPr>
          </w:p>
        </w:tc>
        <w:tc>
          <w:tcPr>
            <w:tcW w:w="1259" w:type="dxa"/>
          </w:tcPr>
          <w:p w14:paraId="7357FC94">
            <w:pPr>
              <w:keepNext w:val="0"/>
              <w:keepLines w:val="0"/>
              <w:pageBreakBefore w:val="0"/>
              <w:widowControl w:val="0"/>
              <w:kinsoku/>
              <w:overflowPunct/>
              <w:topLinePunct/>
              <w:bidi w:val="0"/>
              <w:spacing w:line="360" w:lineRule="auto"/>
              <w:ind w:firstLine="422"/>
              <w:rPr>
                <w:b/>
                <w:szCs w:val="21"/>
                <w:highlight w:val="none"/>
              </w:rPr>
            </w:pPr>
          </w:p>
        </w:tc>
      </w:tr>
    </w:tbl>
    <w:p w14:paraId="31704DAC">
      <w:pPr>
        <w:keepNext w:val="0"/>
        <w:keepLines w:val="0"/>
        <w:pageBreakBefore w:val="0"/>
        <w:widowControl w:val="0"/>
        <w:kinsoku/>
        <w:overflowPunct/>
        <w:topLinePunct/>
        <w:bidi w:val="0"/>
        <w:spacing w:line="360" w:lineRule="auto"/>
        <w:ind w:firstLine="420"/>
        <w:rPr>
          <w:rFonts w:ascii="宋体" w:hAnsi="宋体" w:cs="宋体"/>
          <w:szCs w:val="21"/>
          <w:highlight w:val="none"/>
        </w:rPr>
      </w:pPr>
    </w:p>
    <w:p w14:paraId="64AE7CA1">
      <w:pPr>
        <w:keepNext w:val="0"/>
        <w:keepLines w:val="0"/>
        <w:pageBreakBefore w:val="0"/>
        <w:widowControl w:val="0"/>
        <w:kinsoku/>
        <w:overflowPunct/>
        <w:topLinePunct/>
        <w:bidi w:val="0"/>
        <w:snapToGrid w:val="0"/>
        <w:spacing w:line="360" w:lineRule="auto"/>
        <w:ind w:firstLine="480"/>
        <w:jc w:val="left"/>
        <w:rPr>
          <w:sz w:val="24"/>
          <w:highlight w:val="none"/>
        </w:rPr>
      </w:pPr>
      <w:r>
        <w:rPr>
          <w:rFonts w:hint="eastAsia"/>
          <w:sz w:val="24"/>
          <w:highlight w:val="none"/>
        </w:rPr>
        <w:t>注：</w:t>
      </w:r>
    </w:p>
    <w:p w14:paraId="4B85DED6">
      <w:pPr>
        <w:keepNext w:val="0"/>
        <w:keepLines w:val="0"/>
        <w:pageBreakBefore w:val="0"/>
        <w:widowControl w:val="0"/>
        <w:kinsoku/>
        <w:overflowPunct/>
        <w:topLinePunct/>
        <w:bidi w:val="0"/>
        <w:snapToGrid w:val="0"/>
        <w:spacing w:line="360" w:lineRule="auto"/>
        <w:ind w:firstLine="480" w:firstLineChars="200"/>
        <w:jc w:val="left"/>
        <w:rPr>
          <w:sz w:val="24"/>
          <w:highlight w:val="none"/>
        </w:rPr>
      </w:pPr>
      <w:r>
        <w:rPr>
          <w:rFonts w:hint="eastAsia"/>
          <w:sz w:val="24"/>
          <w:highlight w:val="none"/>
        </w:rPr>
        <w:t>采购标的或报价产品属《网络关键设备和网络安全专用产品目录》的网络安全专用产品，投标人须提供具备资格的机构依据GB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p>
    <w:p w14:paraId="7B7B6F81">
      <w:pPr>
        <w:keepNext w:val="0"/>
        <w:keepLines w:val="0"/>
        <w:pageBreakBefore w:val="0"/>
        <w:widowControl w:val="0"/>
        <w:tabs>
          <w:tab w:val="left" w:pos="1680"/>
        </w:tabs>
        <w:kinsoku/>
        <w:overflowPunct/>
        <w:topLinePunct/>
        <w:bidi w:val="0"/>
        <w:adjustRightInd w:val="0"/>
        <w:snapToGrid w:val="0"/>
        <w:spacing w:line="360" w:lineRule="auto"/>
        <w:ind w:firstLine="480"/>
        <w:outlineLvl w:val="2"/>
        <w:rPr>
          <w:rFonts w:ascii="宋体" w:hAnsi="宋体" w:cs="宋体"/>
          <w:b/>
          <w:kern w:val="0"/>
          <w:sz w:val="24"/>
          <w:highlight w:val="none"/>
        </w:rPr>
      </w:pPr>
      <w:r>
        <w:rPr>
          <w:rFonts w:ascii="宋体" w:hAnsi="宋体" w:cs="宋体"/>
          <w:bCs/>
          <w:sz w:val="24"/>
          <w:highlight w:val="none"/>
        </w:rPr>
        <w:br w:type="page"/>
      </w:r>
      <w:r>
        <w:rPr>
          <w:rFonts w:hint="eastAsia" w:ascii="宋体" w:hAnsi="宋体" w:cs="宋体"/>
          <w:b/>
          <w:kern w:val="0"/>
          <w:sz w:val="24"/>
          <w:highlight w:val="none"/>
        </w:rPr>
        <w:t>（三）正版软件承诺格式（如不涉及，可不提供）</w:t>
      </w:r>
    </w:p>
    <w:p w14:paraId="68905981">
      <w:pPr>
        <w:keepNext w:val="0"/>
        <w:keepLines w:val="0"/>
        <w:pageBreakBefore w:val="0"/>
        <w:widowControl w:val="0"/>
        <w:kinsoku/>
        <w:overflowPunct/>
        <w:topLinePunct/>
        <w:bidi w:val="0"/>
        <w:adjustRightInd w:val="0"/>
        <w:snapToGrid w:val="0"/>
        <w:spacing w:line="360" w:lineRule="auto"/>
        <w:ind w:firstLine="562"/>
        <w:jc w:val="center"/>
        <w:rPr>
          <w:b/>
          <w:kern w:val="0"/>
          <w:sz w:val="28"/>
          <w:szCs w:val="28"/>
          <w:highlight w:val="none"/>
        </w:rPr>
      </w:pPr>
    </w:p>
    <w:p w14:paraId="39678A8E">
      <w:pPr>
        <w:keepNext w:val="0"/>
        <w:keepLines w:val="0"/>
        <w:pageBreakBefore w:val="0"/>
        <w:widowControl w:val="0"/>
        <w:kinsoku/>
        <w:overflowPunct/>
        <w:topLinePunct/>
        <w:bidi w:val="0"/>
        <w:adjustRightInd w:val="0"/>
        <w:snapToGrid w:val="0"/>
        <w:spacing w:line="360" w:lineRule="auto"/>
        <w:ind w:firstLine="562"/>
        <w:jc w:val="center"/>
        <w:rPr>
          <w:b/>
          <w:kern w:val="0"/>
          <w:sz w:val="28"/>
          <w:szCs w:val="28"/>
          <w:highlight w:val="none"/>
        </w:rPr>
      </w:pPr>
      <w:r>
        <w:rPr>
          <w:rFonts w:hint="eastAsia"/>
          <w:b/>
          <w:kern w:val="0"/>
          <w:sz w:val="28"/>
          <w:szCs w:val="28"/>
          <w:highlight w:val="none"/>
        </w:rPr>
        <w:t>正版软件承诺</w:t>
      </w:r>
    </w:p>
    <w:p w14:paraId="3B49A1B6">
      <w:pPr>
        <w:keepNext w:val="0"/>
        <w:keepLines w:val="0"/>
        <w:pageBreakBefore w:val="0"/>
        <w:widowControl w:val="0"/>
        <w:kinsoku/>
        <w:overflowPunct/>
        <w:topLinePunct/>
        <w:bidi w:val="0"/>
        <w:snapToGrid w:val="0"/>
        <w:spacing w:line="360" w:lineRule="auto"/>
        <w:ind w:firstLine="480"/>
        <w:jc w:val="left"/>
        <w:rPr>
          <w:rFonts w:ascii="宋体" w:hAnsi="宋体" w:cs="宋体"/>
          <w:kern w:val="0"/>
          <w:sz w:val="24"/>
          <w:highlight w:val="none"/>
          <w:u w:val="single"/>
        </w:rPr>
      </w:pPr>
    </w:p>
    <w:p w14:paraId="23967FDE">
      <w:pPr>
        <w:keepNext w:val="0"/>
        <w:keepLines w:val="0"/>
        <w:pageBreakBefore w:val="0"/>
        <w:widowControl w:val="0"/>
        <w:kinsoku/>
        <w:overflowPunct/>
        <w:topLinePunct/>
        <w:bidi w:val="0"/>
        <w:spacing w:line="360" w:lineRule="auto"/>
        <w:ind w:firstLine="480"/>
        <w:rPr>
          <w:rFonts w:ascii="宋体" w:hAnsi="宋体" w:cs="宋体"/>
          <w:sz w:val="24"/>
          <w:highlight w:val="none"/>
          <w:u w:val="single"/>
        </w:rPr>
      </w:pPr>
      <w:r>
        <w:rPr>
          <w:rFonts w:hint="eastAsia" w:ascii="宋体" w:hAnsi="宋体" w:cs="宋体"/>
          <w:sz w:val="24"/>
          <w:highlight w:val="none"/>
          <w:u w:val="single"/>
        </w:rPr>
        <w:t xml:space="preserve">  </w:t>
      </w:r>
      <w:r>
        <w:rPr>
          <w:rFonts w:hint="eastAsia" w:ascii="宋体" w:hAnsi="宋体" w:cs="宋体"/>
          <w:kern w:val="0"/>
          <w:sz w:val="24"/>
          <w:highlight w:val="none"/>
          <w:u w:val="single"/>
        </w:rPr>
        <w:t>采购代理机构名称</w:t>
      </w:r>
      <w:r>
        <w:rPr>
          <w:rFonts w:hint="eastAsia" w:ascii="宋体" w:hAnsi="宋体" w:cs="宋体"/>
          <w:sz w:val="24"/>
          <w:highlight w:val="none"/>
          <w:u w:val="single"/>
        </w:rPr>
        <w:t xml:space="preserve">  ：</w:t>
      </w:r>
    </w:p>
    <w:p w14:paraId="4904435E">
      <w:pPr>
        <w:keepNext w:val="0"/>
        <w:keepLines w:val="0"/>
        <w:pageBreakBefore w:val="0"/>
        <w:widowControl w:val="0"/>
        <w:kinsoku/>
        <w:overflowPunct/>
        <w:topLinePunct/>
        <w:bidi w:val="0"/>
        <w:snapToGrid w:val="0"/>
        <w:spacing w:line="360" w:lineRule="auto"/>
        <w:ind w:firstLine="480" w:firstLineChars="200"/>
        <w:rPr>
          <w:rFonts w:ascii="宋体" w:hAnsi="宋体" w:cs="宋体"/>
          <w:sz w:val="24"/>
          <w:highlight w:val="none"/>
        </w:rPr>
      </w:pPr>
    </w:p>
    <w:p w14:paraId="5416C765">
      <w:pPr>
        <w:keepNext w:val="0"/>
        <w:keepLines w:val="0"/>
        <w:pageBreakBefore w:val="0"/>
        <w:widowControl w:val="0"/>
        <w:kinsoku/>
        <w:overflowPunct/>
        <w:topLinePunct/>
        <w:bidi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我方现参与</w:t>
      </w:r>
      <w:r>
        <w:rPr>
          <w:rFonts w:hint="eastAsia" w:ascii="宋体" w:hAnsi="宋体" w:cs="宋体"/>
          <w:sz w:val="24"/>
          <w:highlight w:val="none"/>
          <w:u w:val="single"/>
        </w:rPr>
        <w:t xml:space="preserve">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hint="eastAsia" w:ascii="宋体" w:hAnsi="宋体" w:cs="宋体"/>
          <w:sz w:val="24"/>
          <w:highlight w:val="none"/>
        </w:rPr>
        <w:t>）的采购活动，现郑重承诺保证投报的计算机操作系统或投报的硬件产品内所涉及软件为正版软件。</w:t>
      </w:r>
    </w:p>
    <w:p w14:paraId="1BFBF044">
      <w:pPr>
        <w:keepNext w:val="0"/>
        <w:keepLines w:val="0"/>
        <w:pageBreakBefore w:val="0"/>
        <w:widowControl w:val="0"/>
        <w:kinsoku/>
        <w:overflowPunct/>
        <w:topLinePunct/>
        <w:bidi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如上述声明不真实，愿意按照政府采购有关法律法规的规定接受处罚。</w:t>
      </w:r>
    </w:p>
    <w:p w14:paraId="7378492F">
      <w:pPr>
        <w:keepNext w:val="0"/>
        <w:keepLines w:val="0"/>
        <w:pageBreakBefore w:val="0"/>
        <w:widowControl w:val="0"/>
        <w:kinsoku/>
        <w:overflowPunct/>
        <w:topLinePunct/>
        <w:bidi w:val="0"/>
        <w:snapToGrid w:val="0"/>
        <w:spacing w:line="360" w:lineRule="auto"/>
        <w:ind w:firstLine="480" w:firstLineChars="200"/>
        <w:rPr>
          <w:rFonts w:ascii="宋体" w:hAnsi="宋体" w:cs="宋体"/>
          <w:sz w:val="24"/>
          <w:highlight w:val="none"/>
        </w:rPr>
      </w:pPr>
    </w:p>
    <w:p w14:paraId="0087697A">
      <w:pPr>
        <w:keepNext w:val="0"/>
        <w:keepLines w:val="0"/>
        <w:pageBreakBefore w:val="0"/>
        <w:widowControl w:val="0"/>
        <w:kinsoku/>
        <w:overflowPunct/>
        <w:topLinePunct/>
        <w:bidi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特此承诺。</w:t>
      </w:r>
    </w:p>
    <w:p w14:paraId="3DFB81B3">
      <w:pPr>
        <w:keepNext w:val="0"/>
        <w:keepLines w:val="0"/>
        <w:pageBreakBefore w:val="0"/>
        <w:widowControl w:val="0"/>
        <w:kinsoku/>
        <w:overflowPunct/>
        <w:topLinePunct/>
        <w:bidi w:val="0"/>
        <w:snapToGrid w:val="0"/>
        <w:spacing w:line="520" w:lineRule="exact"/>
        <w:ind w:firstLine="480"/>
        <w:rPr>
          <w:rFonts w:ascii="宋体" w:hAnsi="宋体" w:cs="宋体"/>
          <w:sz w:val="24"/>
          <w:highlight w:val="none"/>
        </w:rPr>
      </w:pPr>
    </w:p>
    <w:p w14:paraId="376EBF31">
      <w:pPr>
        <w:keepNext w:val="0"/>
        <w:keepLines w:val="0"/>
        <w:pageBreakBefore w:val="0"/>
        <w:widowControl w:val="0"/>
        <w:kinsoku/>
        <w:overflowPunct/>
        <w:topLinePunct/>
        <w:bidi w:val="0"/>
        <w:snapToGrid w:val="0"/>
        <w:spacing w:line="480" w:lineRule="exact"/>
        <w:ind w:firstLine="480"/>
        <w:rPr>
          <w:rFonts w:ascii="宋体" w:hAnsi="宋体" w:cs="宋体"/>
          <w:sz w:val="24"/>
          <w:highlight w:val="none"/>
        </w:rPr>
      </w:pPr>
    </w:p>
    <w:p w14:paraId="0F5F426D">
      <w:pPr>
        <w:keepNext w:val="0"/>
        <w:keepLines w:val="0"/>
        <w:pageBreakBefore w:val="0"/>
        <w:widowControl w:val="0"/>
        <w:kinsoku/>
        <w:overflowPunct/>
        <w:topLinePunct/>
        <w:bidi w:val="0"/>
        <w:snapToGrid w:val="0"/>
        <w:spacing w:line="480" w:lineRule="exact"/>
        <w:ind w:firstLine="480"/>
        <w:rPr>
          <w:rFonts w:ascii="宋体" w:hAnsi="宋体" w:cs="宋体"/>
          <w:sz w:val="24"/>
          <w:highlight w:val="none"/>
        </w:rPr>
      </w:pPr>
    </w:p>
    <w:p w14:paraId="7E090C6C">
      <w:pPr>
        <w:keepNext w:val="0"/>
        <w:keepLines w:val="0"/>
        <w:pageBreakBefore w:val="0"/>
        <w:widowControl w:val="0"/>
        <w:kinsoku/>
        <w:overflowPunct/>
        <w:topLinePunct/>
        <w:bidi w:val="0"/>
        <w:snapToGrid w:val="0"/>
        <w:spacing w:line="480" w:lineRule="exact"/>
        <w:ind w:firstLine="480"/>
        <w:rPr>
          <w:rFonts w:ascii="宋体" w:hAnsi="宋体" w:cs="宋体"/>
          <w:sz w:val="24"/>
          <w:highlight w:val="none"/>
        </w:rPr>
      </w:pPr>
    </w:p>
    <w:p w14:paraId="574F4B8F">
      <w:pPr>
        <w:keepNext w:val="0"/>
        <w:keepLines w:val="0"/>
        <w:pageBreakBefore w:val="0"/>
        <w:widowControl w:val="0"/>
        <w:kinsoku/>
        <w:overflowPunct/>
        <w:topLinePunct/>
        <w:bidi w:val="0"/>
        <w:snapToGrid w:val="0"/>
        <w:spacing w:line="480" w:lineRule="exact"/>
        <w:ind w:firstLine="4560" w:firstLineChars="1900"/>
        <w:rPr>
          <w:rFonts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51BAFCA2">
      <w:pPr>
        <w:keepNext w:val="0"/>
        <w:keepLines w:val="0"/>
        <w:pageBreakBefore w:val="0"/>
        <w:widowControl w:val="0"/>
        <w:kinsoku/>
        <w:overflowPunct/>
        <w:topLinePunct/>
        <w:bidi w:val="0"/>
        <w:spacing w:line="480" w:lineRule="exact"/>
        <w:ind w:firstLine="4560" w:firstLineChars="1900"/>
        <w:rPr>
          <w:rFonts w:ascii="宋体" w:hAnsi="宋体" w:cs="宋体"/>
          <w:b/>
          <w:sz w:val="24"/>
          <w:highlight w:val="none"/>
        </w:rPr>
      </w:pPr>
      <w:r>
        <w:rPr>
          <w:rFonts w:hint="eastAsia" w:ascii="宋体" w:hAnsi="宋体" w:cs="宋体"/>
          <w:sz w:val="24"/>
          <w:highlight w:val="none"/>
        </w:rPr>
        <w:t>日     期：</w:t>
      </w:r>
    </w:p>
    <w:p w14:paraId="53BB3CB2">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17BD9806">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5F9678AC">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3D7E40C0">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7A179992">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17FDBF35">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4E840E80">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5918200C">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1EEAA0ED">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05C81010">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2FA82D0E">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5030F189">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2029318A">
      <w:pPr>
        <w:keepNext w:val="0"/>
        <w:keepLines w:val="0"/>
        <w:pageBreakBefore w:val="0"/>
        <w:widowControl w:val="0"/>
        <w:kinsoku/>
        <w:overflowPunct/>
        <w:bidi w:val="0"/>
        <w:spacing w:line="360" w:lineRule="auto"/>
        <w:jc w:val="left"/>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w:t>
      </w:r>
      <w:r>
        <w:rPr>
          <w:rFonts w:hint="eastAsia" w:ascii="Times New Roman" w:hAnsi="Times New Roman"/>
          <w:b/>
          <w:color w:val="000000" w:themeColor="text1"/>
          <w:kern w:val="0"/>
          <w:sz w:val="24"/>
          <w:highlight w:val="none"/>
          <w:lang w:val="en-US" w:eastAsia="zh-CN"/>
          <w14:textFill>
            <w14:solidFill>
              <w14:schemeClr w14:val="tx1"/>
            </w14:solidFill>
          </w14:textFill>
        </w:rPr>
        <w:t>四</w:t>
      </w:r>
      <w:r>
        <w:rPr>
          <w:rFonts w:ascii="Times New Roman" w:hAnsi="Times New Roman"/>
          <w:b/>
          <w:color w:val="000000" w:themeColor="text1"/>
          <w:kern w:val="0"/>
          <w:sz w:val="24"/>
          <w:highlight w:val="none"/>
          <w14:textFill>
            <w14:solidFill>
              <w14:schemeClr w14:val="tx1"/>
            </w14:solidFill>
          </w14:textFill>
        </w:rPr>
        <w:t>）</w:t>
      </w:r>
      <w:r>
        <w:rPr>
          <w:rFonts w:ascii="Times New Roman" w:hAnsi="Times New Roman"/>
          <w:b/>
          <w:color w:val="000000" w:themeColor="text1"/>
          <w:sz w:val="24"/>
          <w:highlight w:val="none"/>
          <w14:textFill>
            <w14:solidFill>
              <w14:schemeClr w14:val="tx1"/>
            </w14:solidFill>
          </w14:textFill>
        </w:rPr>
        <w:t>创新产品或创新服务明细表</w:t>
      </w:r>
      <w:r>
        <w:rPr>
          <w:rFonts w:ascii="Times New Roman" w:hAnsi="Times New Roman"/>
          <w:b/>
          <w:color w:val="000000" w:themeColor="text1"/>
          <w:kern w:val="0"/>
          <w:sz w:val="24"/>
          <w:highlight w:val="none"/>
          <w14:textFill>
            <w14:solidFill>
              <w14:schemeClr w14:val="tx1"/>
            </w14:solidFill>
          </w14:textFill>
        </w:rPr>
        <w:t>（如不涉及，此函可不提供）</w:t>
      </w:r>
    </w:p>
    <w:p w14:paraId="0F12CF65">
      <w:pPr>
        <w:keepNext w:val="0"/>
        <w:keepLines w:val="0"/>
        <w:pageBreakBefore w:val="0"/>
        <w:widowControl w:val="0"/>
        <w:kinsoku/>
        <w:overflowPunct/>
        <w:bidi w:val="0"/>
        <w:spacing w:line="360" w:lineRule="auto"/>
        <w:jc w:val="center"/>
        <w:rPr>
          <w:rFonts w:ascii="Times New Roman" w:hAnsi="Times New Roman"/>
          <w:b/>
          <w:color w:val="000000" w:themeColor="text1"/>
          <w:spacing w:val="6"/>
          <w:sz w:val="24"/>
          <w:highlight w:val="none"/>
          <w14:textFill>
            <w14:solidFill>
              <w14:schemeClr w14:val="tx1"/>
            </w14:solidFill>
          </w14:textFill>
        </w:rPr>
      </w:pPr>
    </w:p>
    <w:p w14:paraId="448F3E59">
      <w:pPr>
        <w:keepNext w:val="0"/>
        <w:keepLines w:val="0"/>
        <w:pageBreakBefore w:val="0"/>
        <w:widowControl w:val="0"/>
        <w:kinsoku/>
        <w:overflowPunct/>
        <w:bidi w:val="0"/>
        <w:spacing w:line="360" w:lineRule="auto"/>
        <w:jc w:val="center"/>
        <w:rPr>
          <w:rFonts w:ascii="Times New Roman" w:hAnsi="Times New Roman"/>
          <w:b/>
          <w:color w:val="000000" w:themeColor="text1"/>
          <w:spacing w:val="6"/>
          <w:sz w:val="24"/>
          <w:highlight w:val="none"/>
          <w14:textFill>
            <w14:solidFill>
              <w14:schemeClr w14:val="tx1"/>
            </w14:solidFill>
          </w14:textFill>
        </w:rPr>
      </w:pPr>
      <w:r>
        <w:rPr>
          <w:rFonts w:ascii="Times New Roman" w:hAnsi="Times New Roman"/>
          <w:b/>
          <w:color w:val="000000" w:themeColor="text1"/>
          <w:spacing w:val="6"/>
          <w:sz w:val="24"/>
          <w:highlight w:val="none"/>
          <w14:textFill>
            <w14:solidFill>
              <w14:schemeClr w14:val="tx1"/>
            </w14:solidFill>
          </w14:textFill>
        </w:rPr>
        <w:t>创新产品或创新服务明细表</w:t>
      </w:r>
    </w:p>
    <w:p w14:paraId="2060C7E4">
      <w:pPr>
        <w:keepNext w:val="0"/>
        <w:keepLines w:val="0"/>
        <w:pageBreakBefore w:val="0"/>
        <w:widowControl w:val="0"/>
        <w:kinsoku/>
        <w:overflowPunct/>
        <w:bidi w:val="0"/>
        <w:spacing w:line="360" w:lineRule="auto"/>
        <w:rPr>
          <w:rFonts w:ascii="Times New Roman" w:hAnsi="Times New Roman"/>
          <w:color w:val="000000" w:themeColor="text1"/>
          <w:sz w:val="24"/>
          <w:highlight w:val="none"/>
          <w14:textFill>
            <w14:solidFill>
              <w14:schemeClr w14:val="tx1"/>
            </w14:solidFill>
          </w14:textFill>
        </w:rPr>
      </w:pPr>
    </w:p>
    <w:p w14:paraId="3A4E8431">
      <w:pPr>
        <w:keepNext w:val="0"/>
        <w:keepLines w:val="0"/>
        <w:pageBreakBefore w:val="0"/>
        <w:widowControl w:val="0"/>
        <w:kinsoku/>
        <w:overflowPunct/>
        <w:bidi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项目名称：</w:t>
      </w:r>
    </w:p>
    <w:p w14:paraId="080E767F">
      <w:pPr>
        <w:keepNext w:val="0"/>
        <w:keepLines w:val="0"/>
        <w:pageBreakBefore w:val="0"/>
        <w:widowControl w:val="0"/>
        <w:kinsoku/>
        <w:overflowPunct/>
        <w:bidi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项目编号：</w:t>
      </w:r>
    </w:p>
    <w:p w14:paraId="61E7E287">
      <w:pPr>
        <w:keepNext w:val="0"/>
        <w:keepLines w:val="0"/>
        <w:pageBreakBefore w:val="0"/>
        <w:widowControl w:val="0"/>
        <w:kinsoku/>
        <w:overflowPunct/>
        <w:bidi w:val="0"/>
        <w:spacing w:line="360" w:lineRule="auto"/>
        <w:jc w:val="right"/>
        <w:rPr>
          <w:rFonts w:ascii="Times New Roman" w:hAnsi="Times New Roman"/>
          <w:color w:val="000000" w:themeColor="text1"/>
          <w:sz w:val="24"/>
          <w:highlight w:val="none"/>
          <w14:textFill>
            <w14:solidFill>
              <w14:schemeClr w14:val="tx1"/>
            </w14:solidFill>
          </w14:textFill>
        </w:rPr>
      </w:pPr>
    </w:p>
    <w:tbl>
      <w:tblPr>
        <w:tblStyle w:val="23"/>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452"/>
        <w:gridCol w:w="2661"/>
        <w:gridCol w:w="2919"/>
      </w:tblGrid>
      <w:tr w14:paraId="2596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71" w:type="dxa"/>
            <w:vAlign w:val="center"/>
          </w:tcPr>
          <w:p w14:paraId="736DCEA0">
            <w:pPr>
              <w:keepNext w:val="0"/>
              <w:keepLines w:val="0"/>
              <w:pageBreakBefore w:val="0"/>
              <w:widowControl w:val="0"/>
              <w:kinsoku/>
              <w:overflowPunct/>
              <w:bidi w:val="0"/>
              <w:spacing w:line="240" w:lineRule="exact"/>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序号</w:t>
            </w:r>
          </w:p>
        </w:tc>
        <w:tc>
          <w:tcPr>
            <w:tcW w:w="2452" w:type="dxa"/>
            <w:vAlign w:val="center"/>
          </w:tcPr>
          <w:p w14:paraId="10A389FD">
            <w:pPr>
              <w:keepNext w:val="0"/>
              <w:keepLines w:val="0"/>
              <w:pageBreakBefore w:val="0"/>
              <w:widowControl w:val="0"/>
              <w:kinsoku/>
              <w:overflowPunct/>
              <w:bidi w:val="0"/>
              <w:spacing w:line="240" w:lineRule="exact"/>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企业名称</w:t>
            </w:r>
          </w:p>
        </w:tc>
        <w:tc>
          <w:tcPr>
            <w:tcW w:w="2661" w:type="dxa"/>
            <w:vAlign w:val="center"/>
          </w:tcPr>
          <w:p w14:paraId="55223BB6">
            <w:pPr>
              <w:keepNext w:val="0"/>
              <w:keepLines w:val="0"/>
              <w:pageBreakBefore w:val="0"/>
              <w:widowControl w:val="0"/>
              <w:kinsoku/>
              <w:overflowPunct/>
              <w:bidi w:val="0"/>
              <w:spacing w:line="240" w:lineRule="exact"/>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产品名称</w:t>
            </w:r>
          </w:p>
        </w:tc>
        <w:tc>
          <w:tcPr>
            <w:tcW w:w="2919" w:type="dxa"/>
            <w:tcBorders>
              <w:bottom w:val="single" w:color="auto" w:sz="4" w:space="0"/>
            </w:tcBorders>
            <w:vAlign w:val="center"/>
          </w:tcPr>
          <w:p w14:paraId="228A89EF">
            <w:pPr>
              <w:keepNext w:val="0"/>
              <w:keepLines w:val="0"/>
              <w:pageBreakBefore w:val="0"/>
              <w:widowControl w:val="0"/>
              <w:kinsoku/>
              <w:overflowPunct/>
              <w:bidi w:val="0"/>
              <w:spacing w:line="240" w:lineRule="exact"/>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规格型号</w:t>
            </w:r>
          </w:p>
        </w:tc>
      </w:tr>
      <w:tr w14:paraId="23E3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vAlign w:val="center"/>
          </w:tcPr>
          <w:p w14:paraId="0FC609B2">
            <w:pPr>
              <w:keepNext w:val="0"/>
              <w:keepLines w:val="0"/>
              <w:pageBreakBefore w:val="0"/>
              <w:widowControl w:val="0"/>
              <w:kinsoku/>
              <w:overflowPunct/>
              <w:bidi w:val="0"/>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452" w:type="dxa"/>
            <w:vAlign w:val="center"/>
          </w:tcPr>
          <w:p w14:paraId="0FC96B29">
            <w:pPr>
              <w:keepNext w:val="0"/>
              <w:keepLines w:val="0"/>
              <w:pageBreakBefore w:val="0"/>
              <w:widowControl w:val="0"/>
              <w:kinsoku/>
              <w:overflowPunct/>
              <w:bidi w:val="0"/>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661" w:type="dxa"/>
            <w:vAlign w:val="center"/>
          </w:tcPr>
          <w:p w14:paraId="1E7C8AAF">
            <w:pPr>
              <w:keepNext w:val="0"/>
              <w:keepLines w:val="0"/>
              <w:pageBreakBefore w:val="0"/>
              <w:widowControl w:val="0"/>
              <w:kinsoku/>
              <w:overflowPunct/>
              <w:bidi w:val="0"/>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919" w:type="dxa"/>
            <w:tcBorders>
              <w:top w:val="single" w:color="auto" w:sz="4" w:space="0"/>
              <w:bottom w:val="single" w:color="auto" w:sz="4" w:space="0"/>
            </w:tcBorders>
            <w:vAlign w:val="center"/>
          </w:tcPr>
          <w:p w14:paraId="62E97389">
            <w:pPr>
              <w:keepNext w:val="0"/>
              <w:keepLines w:val="0"/>
              <w:pageBreakBefore w:val="0"/>
              <w:widowControl w:val="0"/>
              <w:kinsoku/>
              <w:overflowPunct/>
              <w:bidi w:val="0"/>
              <w:spacing w:line="360" w:lineRule="auto"/>
              <w:jc w:val="center"/>
              <w:rPr>
                <w:rFonts w:ascii="Times New Roman" w:hAnsi="Times New Roman"/>
                <w:bCs/>
                <w:color w:val="000000" w:themeColor="text1"/>
                <w:szCs w:val="21"/>
                <w:highlight w:val="none"/>
                <w:vertAlign w:val="superscript"/>
                <w14:textFill>
                  <w14:solidFill>
                    <w14:schemeClr w14:val="tx1"/>
                  </w14:solidFill>
                </w14:textFill>
              </w:rPr>
            </w:pPr>
          </w:p>
        </w:tc>
      </w:tr>
      <w:tr w14:paraId="7C93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vAlign w:val="center"/>
          </w:tcPr>
          <w:p w14:paraId="3A998C5C">
            <w:pPr>
              <w:keepNext w:val="0"/>
              <w:keepLines w:val="0"/>
              <w:pageBreakBefore w:val="0"/>
              <w:widowControl w:val="0"/>
              <w:kinsoku/>
              <w:overflowPunct/>
              <w:bidi w:val="0"/>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452" w:type="dxa"/>
            <w:vAlign w:val="center"/>
          </w:tcPr>
          <w:p w14:paraId="09509027">
            <w:pPr>
              <w:keepNext w:val="0"/>
              <w:keepLines w:val="0"/>
              <w:pageBreakBefore w:val="0"/>
              <w:widowControl w:val="0"/>
              <w:kinsoku/>
              <w:overflowPunct/>
              <w:bidi w:val="0"/>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661" w:type="dxa"/>
            <w:vAlign w:val="center"/>
          </w:tcPr>
          <w:p w14:paraId="6AABF061">
            <w:pPr>
              <w:keepNext w:val="0"/>
              <w:keepLines w:val="0"/>
              <w:pageBreakBefore w:val="0"/>
              <w:widowControl w:val="0"/>
              <w:kinsoku/>
              <w:overflowPunct/>
              <w:bidi w:val="0"/>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919" w:type="dxa"/>
            <w:tcBorders>
              <w:top w:val="single" w:color="auto" w:sz="4" w:space="0"/>
              <w:bottom w:val="single" w:color="auto" w:sz="4" w:space="0"/>
            </w:tcBorders>
            <w:vAlign w:val="center"/>
          </w:tcPr>
          <w:p w14:paraId="612EF89A">
            <w:pPr>
              <w:keepNext w:val="0"/>
              <w:keepLines w:val="0"/>
              <w:pageBreakBefore w:val="0"/>
              <w:widowControl w:val="0"/>
              <w:kinsoku/>
              <w:overflowPunct/>
              <w:bidi w:val="0"/>
              <w:spacing w:line="360" w:lineRule="auto"/>
              <w:jc w:val="center"/>
              <w:rPr>
                <w:rFonts w:ascii="Times New Roman" w:hAnsi="Times New Roman"/>
                <w:bCs/>
                <w:color w:val="000000" w:themeColor="text1"/>
                <w:szCs w:val="21"/>
                <w:highlight w:val="none"/>
                <w:vertAlign w:val="superscript"/>
                <w14:textFill>
                  <w14:solidFill>
                    <w14:schemeClr w14:val="tx1"/>
                  </w14:solidFill>
                </w14:textFill>
              </w:rPr>
            </w:pPr>
          </w:p>
        </w:tc>
      </w:tr>
    </w:tbl>
    <w:p w14:paraId="17639DD5">
      <w:pPr>
        <w:keepNext w:val="0"/>
        <w:keepLines w:val="0"/>
        <w:pageBreakBefore w:val="0"/>
        <w:widowControl w:val="0"/>
        <w:kinsoku/>
        <w:overflowPunct/>
        <w:bidi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14:paraId="62DAACE5">
      <w:pPr>
        <w:keepNext w:val="0"/>
        <w:keepLines w:val="0"/>
        <w:pageBreakBefore w:val="0"/>
        <w:widowControl w:val="0"/>
        <w:kinsoku/>
        <w:overflowPunct/>
        <w:bidi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说明： </w:t>
      </w:r>
    </w:p>
    <w:p w14:paraId="525DD29D">
      <w:pPr>
        <w:keepNext w:val="0"/>
        <w:keepLines w:val="0"/>
        <w:pageBreakBefore w:val="0"/>
        <w:widowControl w:val="0"/>
        <w:kinsoku/>
        <w:overflowPunct/>
        <w:bidi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投报产品包含创新产品或创新服务，需填写此表后，提供《山西省创新产品和服务推荐清单》。</w:t>
      </w:r>
    </w:p>
    <w:p w14:paraId="26C75B01">
      <w:pPr>
        <w:keepNext w:val="0"/>
        <w:keepLines w:val="0"/>
        <w:pageBreakBefore w:val="0"/>
        <w:widowControl w:val="0"/>
        <w:kinsoku/>
        <w:overflowPunct/>
        <w:bidi w:val="0"/>
        <w:spacing w:line="360" w:lineRule="auto"/>
        <w:ind w:firstLine="4320" w:firstLineChars="1800"/>
        <w:rPr>
          <w:rFonts w:ascii="Times New Roman" w:hAnsi="Times New Roman"/>
          <w:color w:val="000000" w:themeColor="text1"/>
          <w:sz w:val="24"/>
          <w:highlight w:val="none"/>
          <w14:textFill>
            <w14:solidFill>
              <w14:schemeClr w14:val="tx1"/>
            </w14:solidFill>
          </w14:textFill>
        </w:rPr>
      </w:pPr>
    </w:p>
    <w:p w14:paraId="5B0DCEB6">
      <w:pPr>
        <w:keepNext w:val="0"/>
        <w:keepLines w:val="0"/>
        <w:pageBreakBefore w:val="0"/>
        <w:widowControl w:val="0"/>
        <w:kinsoku/>
        <w:overflowPunct/>
        <w:bidi w:val="0"/>
        <w:spacing w:line="360" w:lineRule="auto"/>
        <w:ind w:firstLine="4320" w:firstLineChars="1800"/>
        <w:rPr>
          <w:rFonts w:ascii="Times New Roman" w:hAnsi="Times New Roman"/>
          <w:color w:val="000000" w:themeColor="text1"/>
          <w:sz w:val="24"/>
          <w:highlight w:val="none"/>
          <w14:textFill>
            <w14:solidFill>
              <w14:schemeClr w14:val="tx1"/>
            </w14:solidFill>
          </w14:textFill>
        </w:rPr>
      </w:pPr>
    </w:p>
    <w:p w14:paraId="05563A1F">
      <w:pPr>
        <w:pStyle w:val="34"/>
        <w:keepNext w:val="0"/>
        <w:keepLines w:val="0"/>
        <w:pageBreakBefore w:val="0"/>
        <w:widowControl w:val="0"/>
        <w:kinsoku/>
        <w:overflowPunct/>
        <w:bidi w:val="0"/>
        <w:snapToGrid w:val="0"/>
        <w:spacing w:line="360" w:lineRule="auto"/>
        <w:ind w:firstLine="4320" w:firstLineChars="1800"/>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 投标人名称：</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（盖章）</w:t>
      </w:r>
    </w:p>
    <w:p w14:paraId="52FDC7F2">
      <w:pPr>
        <w:keepNext w:val="0"/>
        <w:keepLines w:val="0"/>
        <w:pageBreakBefore w:val="0"/>
        <w:widowControl w:val="0"/>
        <w:kinsoku/>
        <w:overflowPunct/>
        <w:bidi w:val="0"/>
        <w:spacing w:line="360" w:lineRule="auto"/>
        <w:ind w:firstLine="5040" w:firstLineChars="2100"/>
        <w:rPr>
          <w:rFonts w:ascii="Times New Roman" w:hAnsi="Times New Roman"/>
          <w:b/>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14:paraId="71D6FD2A">
      <w:pPr>
        <w:keepNext w:val="0"/>
        <w:keepLines w:val="0"/>
        <w:pageBreakBefore w:val="0"/>
        <w:widowControl w:val="0"/>
        <w:kinsoku/>
        <w:overflowPunct/>
        <w:bidi w:val="0"/>
        <w:spacing w:line="360" w:lineRule="auto"/>
        <w:ind w:firstLine="5060" w:firstLineChars="2100"/>
        <w:rPr>
          <w:rFonts w:ascii="Times New Roman" w:hAnsi="Times New Roman"/>
          <w:b/>
          <w:color w:val="000000" w:themeColor="text1"/>
          <w:sz w:val="24"/>
          <w:highlight w:val="none"/>
          <w14:textFill>
            <w14:solidFill>
              <w14:schemeClr w14:val="tx1"/>
            </w14:solidFill>
          </w14:textFill>
        </w:rPr>
      </w:pPr>
    </w:p>
    <w:p w14:paraId="498F2E6F">
      <w:pPr>
        <w:keepNext w:val="0"/>
        <w:keepLines w:val="0"/>
        <w:pageBreakBefore w:val="0"/>
        <w:widowControl w:val="0"/>
        <w:kinsoku/>
        <w:overflowPunct/>
        <w:bidi w:val="0"/>
        <w:snapToGrid w:val="0"/>
        <w:spacing w:line="360" w:lineRule="auto"/>
        <w:rPr>
          <w:rFonts w:ascii="Times New Roman" w:hAnsi="Times New Roman"/>
          <w:b/>
          <w:color w:val="000000" w:themeColor="text1"/>
          <w:kern w:val="0"/>
          <w:sz w:val="24"/>
          <w:highlight w:val="none"/>
          <w14:textFill>
            <w14:solidFill>
              <w14:schemeClr w14:val="tx1"/>
            </w14:solidFill>
          </w14:textFill>
        </w:rPr>
      </w:pPr>
    </w:p>
    <w:p w14:paraId="18FFD5D2">
      <w:pPr>
        <w:keepNext w:val="0"/>
        <w:keepLines w:val="0"/>
        <w:pageBreakBefore w:val="0"/>
        <w:widowControl w:val="0"/>
        <w:kinsoku/>
        <w:overflowPunct/>
        <w:bidi w:val="0"/>
        <w:snapToGrid w:val="0"/>
        <w:spacing w:line="360" w:lineRule="auto"/>
        <w:rPr>
          <w:rFonts w:ascii="Times New Roman" w:hAnsi="Times New Roman"/>
          <w:b/>
          <w:color w:val="000000" w:themeColor="text1"/>
          <w:kern w:val="0"/>
          <w:sz w:val="24"/>
          <w:highlight w:val="none"/>
          <w14:textFill>
            <w14:solidFill>
              <w14:schemeClr w14:val="tx1"/>
            </w14:solidFill>
          </w14:textFill>
        </w:rPr>
      </w:pPr>
    </w:p>
    <w:p w14:paraId="2364BD55">
      <w:pPr>
        <w:keepNext w:val="0"/>
        <w:keepLines w:val="0"/>
        <w:pageBreakBefore w:val="0"/>
        <w:widowControl w:val="0"/>
        <w:kinsoku/>
        <w:overflowPunct/>
        <w:bidi w:val="0"/>
        <w:snapToGrid w:val="0"/>
        <w:spacing w:line="360" w:lineRule="auto"/>
        <w:rPr>
          <w:rFonts w:ascii="Times New Roman" w:hAnsi="Times New Roman"/>
          <w:b/>
          <w:color w:val="000000" w:themeColor="text1"/>
          <w:kern w:val="0"/>
          <w:sz w:val="24"/>
          <w:highlight w:val="none"/>
          <w14:textFill>
            <w14:solidFill>
              <w14:schemeClr w14:val="tx1"/>
            </w14:solidFill>
          </w14:textFill>
        </w:rPr>
      </w:pPr>
    </w:p>
    <w:p w14:paraId="44BD5F92">
      <w:pPr>
        <w:keepNext w:val="0"/>
        <w:keepLines w:val="0"/>
        <w:pageBreakBefore w:val="0"/>
        <w:widowControl w:val="0"/>
        <w:kinsoku/>
        <w:overflowPunct/>
        <w:bidi w:val="0"/>
        <w:spacing w:line="480" w:lineRule="exact"/>
        <w:rPr>
          <w:rFonts w:ascii="Times New Roman" w:hAnsi="Times New Roman"/>
          <w:b/>
          <w:color w:val="000000" w:themeColor="text1"/>
          <w:sz w:val="24"/>
          <w:highlight w:val="none"/>
          <w14:textFill>
            <w14:solidFill>
              <w14:schemeClr w14:val="tx1"/>
            </w14:solidFill>
          </w14:textFill>
        </w:rPr>
      </w:pPr>
    </w:p>
    <w:p w14:paraId="5726ED5C">
      <w:pPr>
        <w:keepNext w:val="0"/>
        <w:keepLines w:val="0"/>
        <w:pageBreakBefore w:val="0"/>
        <w:widowControl w:val="0"/>
        <w:kinsoku/>
        <w:overflowPunct/>
        <w:bidi w:val="0"/>
        <w:spacing w:line="480" w:lineRule="exact"/>
        <w:rPr>
          <w:rFonts w:ascii="Times New Roman" w:hAnsi="Times New Roman"/>
          <w:b/>
          <w:color w:val="000000" w:themeColor="text1"/>
          <w:sz w:val="24"/>
          <w:highlight w:val="none"/>
          <w14:textFill>
            <w14:solidFill>
              <w14:schemeClr w14:val="tx1"/>
            </w14:solidFill>
          </w14:textFill>
        </w:rPr>
      </w:pPr>
    </w:p>
    <w:p w14:paraId="53D97E19">
      <w:pPr>
        <w:keepNext w:val="0"/>
        <w:keepLines w:val="0"/>
        <w:pageBreakBefore w:val="0"/>
        <w:widowControl w:val="0"/>
        <w:kinsoku/>
        <w:overflowPunct/>
        <w:bidi w:val="0"/>
        <w:spacing w:line="480" w:lineRule="exact"/>
        <w:rPr>
          <w:rFonts w:ascii="Times New Roman" w:hAnsi="Times New Roman"/>
          <w:b/>
          <w:color w:val="000000" w:themeColor="text1"/>
          <w:sz w:val="24"/>
          <w:highlight w:val="none"/>
          <w14:textFill>
            <w14:solidFill>
              <w14:schemeClr w14:val="tx1"/>
            </w14:solidFill>
          </w14:textFill>
        </w:rPr>
      </w:pPr>
    </w:p>
    <w:p w14:paraId="71972E20">
      <w:pPr>
        <w:keepNext w:val="0"/>
        <w:keepLines w:val="0"/>
        <w:pageBreakBefore w:val="0"/>
        <w:widowControl w:val="0"/>
        <w:kinsoku/>
        <w:overflowPunct/>
        <w:bidi w:val="0"/>
        <w:spacing w:line="480" w:lineRule="exact"/>
        <w:rPr>
          <w:rFonts w:ascii="Times New Roman" w:hAnsi="Times New Roman"/>
          <w:b/>
          <w:color w:val="000000" w:themeColor="text1"/>
          <w:sz w:val="24"/>
          <w:highlight w:val="none"/>
          <w14:textFill>
            <w14:solidFill>
              <w14:schemeClr w14:val="tx1"/>
            </w14:solidFill>
          </w14:textFill>
        </w:rPr>
      </w:pPr>
    </w:p>
    <w:p w14:paraId="6937D3CA">
      <w:pPr>
        <w:pStyle w:val="18"/>
        <w:keepNext w:val="0"/>
        <w:keepLines w:val="0"/>
        <w:pageBreakBefore w:val="0"/>
        <w:widowControl w:val="0"/>
        <w:kinsoku/>
        <w:overflowPunct/>
        <w:bidi w:val="0"/>
        <w:rPr>
          <w:rFonts w:ascii="Times New Roman" w:hAnsi="Times New Roman" w:cs="Times New Roman"/>
          <w:b/>
          <w:color w:val="000000" w:themeColor="text1"/>
          <w:sz w:val="24"/>
          <w:highlight w:val="none"/>
          <w14:textFill>
            <w14:solidFill>
              <w14:schemeClr w14:val="tx1"/>
            </w14:solidFill>
          </w14:textFill>
        </w:rPr>
      </w:pPr>
    </w:p>
    <w:p w14:paraId="4C51C4BA">
      <w:pPr>
        <w:keepNext w:val="0"/>
        <w:keepLines w:val="0"/>
        <w:pageBreakBefore w:val="0"/>
        <w:widowControl w:val="0"/>
        <w:kinsoku/>
        <w:overflowPunct/>
        <w:bidi w:val="0"/>
        <w:rPr>
          <w:color w:val="000000" w:themeColor="text1"/>
          <w:highlight w:val="none"/>
          <w14:textFill>
            <w14:solidFill>
              <w14:schemeClr w14:val="tx1"/>
            </w14:solidFill>
          </w14:textFill>
        </w:rPr>
      </w:pPr>
    </w:p>
    <w:p w14:paraId="7E229B1F">
      <w:pPr>
        <w:pStyle w:val="18"/>
        <w:keepNext w:val="0"/>
        <w:keepLines w:val="0"/>
        <w:pageBreakBefore w:val="0"/>
        <w:widowControl w:val="0"/>
        <w:kinsoku/>
        <w:overflowPunct/>
        <w:bidi w:val="0"/>
        <w:rPr>
          <w:rFonts w:ascii="Times New Roman" w:hAnsi="Times New Roman" w:cs="Times New Roman"/>
          <w:b/>
          <w:color w:val="000000" w:themeColor="text1"/>
          <w:sz w:val="24"/>
          <w:highlight w:val="none"/>
          <w14:textFill>
            <w14:solidFill>
              <w14:schemeClr w14:val="tx1"/>
            </w14:solidFill>
          </w14:textFill>
        </w:rPr>
      </w:pPr>
    </w:p>
    <w:p w14:paraId="7220F06A">
      <w:pPr>
        <w:pStyle w:val="18"/>
        <w:keepNext w:val="0"/>
        <w:keepLines w:val="0"/>
        <w:pageBreakBefore w:val="0"/>
        <w:widowControl w:val="0"/>
        <w:kinsoku/>
        <w:overflowPunct/>
        <w:bidi w:val="0"/>
        <w:rPr>
          <w:rFonts w:ascii="Times New Roman" w:hAnsi="Times New Roman" w:cs="Times New Roman"/>
          <w:b/>
          <w:color w:val="000000" w:themeColor="text1"/>
          <w:sz w:val="24"/>
          <w:highlight w:val="none"/>
          <w14:textFill>
            <w14:solidFill>
              <w14:schemeClr w14:val="tx1"/>
            </w14:solidFill>
          </w14:textFill>
        </w:rPr>
      </w:pPr>
    </w:p>
    <w:p w14:paraId="5F5DB20E">
      <w:pPr>
        <w:pStyle w:val="18"/>
        <w:keepNext w:val="0"/>
        <w:keepLines w:val="0"/>
        <w:pageBreakBefore w:val="0"/>
        <w:widowControl w:val="0"/>
        <w:kinsoku/>
        <w:overflowPunct/>
        <w:bidi w:val="0"/>
        <w:rPr>
          <w:rFonts w:ascii="Times New Roman" w:hAnsi="Times New Roman" w:cs="Times New Roman"/>
          <w:b/>
          <w:color w:val="000000" w:themeColor="text1"/>
          <w:sz w:val="24"/>
          <w:highlight w:val="none"/>
          <w14:textFill>
            <w14:solidFill>
              <w14:schemeClr w14:val="tx1"/>
            </w14:solidFill>
          </w14:textFill>
        </w:rPr>
      </w:pPr>
    </w:p>
    <w:p w14:paraId="56FD1F4A">
      <w:pPr>
        <w:keepNext w:val="0"/>
        <w:keepLines w:val="0"/>
        <w:pageBreakBefore w:val="0"/>
        <w:widowControl w:val="0"/>
        <w:kinsoku/>
        <w:overflowPunct/>
        <w:bidi w:val="0"/>
        <w:rPr>
          <w:rFonts w:ascii="Times New Roman" w:hAnsi="Times New Roman"/>
          <w:color w:val="000000" w:themeColor="text1"/>
          <w:highlight w:val="none"/>
          <w14:textFill>
            <w14:solidFill>
              <w14:schemeClr w14:val="tx1"/>
            </w14:solidFill>
          </w14:textFill>
        </w:rPr>
      </w:pPr>
    </w:p>
    <w:p w14:paraId="3D2594B2">
      <w:pPr>
        <w:keepNext w:val="0"/>
        <w:keepLines w:val="0"/>
        <w:pageBreakBefore w:val="0"/>
        <w:widowControl w:val="0"/>
        <w:kinsoku/>
        <w:overflowPunct/>
        <w:bidi w:val="0"/>
        <w:spacing w:line="480" w:lineRule="exact"/>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w:t>
      </w:r>
      <w:r>
        <w:rPr>
          <w:rFonts w:hint="eastAsia" w:ascii="Times New Roman" w:hAnsi="Times New Roman"/>
          <w:b/>
          <w:color w:val="000000" w:themeColor="text1"/>
          <w:sz w:val="24"/>
          <w:highlight w:val="none"/>
          <w:lang w:val="en-US" w:eastAsia="zh-CN"/>
          <w14:textFill>
            <w14:solidFill>
              <w14:schemeClr w14:val="tx1"/>
            </w14:solidFill>
          </w14:textFill>
        </w:rPr>
        <w:t>五</w:t>
      </w:r>
      <w:r>
        <w:rPr>
          <w:rFonts w:ascii="Times New Roman" w:hAnsi="Times New Roman"/>
          <w:b/>
          <w:color w:val="000000" w:themeColor="text1"/>
          <w:sz w:val="24"/>
          <w:highlight w:val="none"/>
          <w14:textFill>
            <w14:solidFill>
              <w14:schemeClr w14:val="tx1"/>
            </w14:solidFill>
          </w14:textFill>
        </w:rPr>
        <w:t>）商品包装和快递包装承诺格式</w:t>
      </w:r>
      <w:r>
        <w:rPr>
          <w:rFonts w:ascii="Times New Roman" w:hAnsi="Times New Roman"/>
          <w:b/>
          <w:color w:val="000000" w:themeColor="text1"/>
          <w:kern w:val="0"/>
          <w:sz w:val="24"/>
          <w:highlight w:val="none"/>
          <w14:textFill>
            <w14:solidFill>
              <w14:schemeClr w14:val="tx1"/>
            </w14:solidFill>
          </w14:textFill>
        </w:rPr>
        <w:t>（如不涉及，此函可不提供）</w:t>
      </w:r>
    </w:p>
    <w:p w14:paraId="5A931A2A">
      <w:pPr>
        <w:keepNext w:val="0"/>
        <w:keepLines w:val="0"/>
        <w:pageBreakBefore w:val="0"/>
        <w:widowControl w:val="0"/>
        <w:kinsoku/>
        <w:overflowPunct/>
        <w:bidi w:val="0"/>
        <w:spacing w:line="480" w:lineRule="exact"/>
        <w:jc w:val="center"/>
        <w:rPr>
          <w:rFonts w:ascii="Times New Roman" w:hAnsi="Times New Roman"/>
          <w:b/>
          <w:color w:val="000000" w:themeColor="text1"/>
          <w:sz w:val="24"/>
          <w:highlight w:val="none"/>
          <w14:textFill>
            <w14:solidFill>
              <w14:schemeClr w14:val="tx1"/>
            </w14:solidFill>
          </w14:textFill>
        </w:rPr>
      </w:pPr>
    </w:p>
    <w:p w14:paraId="351F6B8A">
      <w:pPr>
        <w:keepNext w:val="0"/>
        <w:keepLines w:val="0"/>
        <w:pageBreakBefore w:val="0"/>
        <w:widowControl w:val="0"/>
        <w:kinsoku/>
        <w:overflowPunct/>
        <w:bidi w:val="0"/>
        <w:spacing w:line="480" w:lineRule="exact"/>
        <w:jc w:val="center"/>
        <w:rPr>
          <w:rFonts w:ascii="Times New Roman" w:hAnsi="Times New Roman"/>
          <w:b/>
          <w:color w:val="000000" w:themeColor="text1"/>
          <w:sz w:val="24"/>
          <w:highlight w:val="none"/>
          <w14:textFill>
            <w14:solidFill>
              <w14:schemeClr w14:val="tx1"/>
            </w14:solidFill>
          </w14:textFill>
        </w:rPr>
      </w:pPr>
    </w:p>
    <w:p w14:paraId="5492AA0B">
      <w:pPr>
        <w:keepNext w:val="0"/>
        <w:keepLines w:val="0"/>
        <w:pageBreakBefore w:val="0"/>
        <w:widowControl w:val="0"/>
        <w:kinsoku/>
        <w:overflowPunct/>
        <w:bidi w:val="0"/>
        <w:spacing w:line="480" w:lineRule="exact"/>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商品包装和快递包装承诺</w:t>
      </w:r>
    </w:p>
    <w:p w14:paraId="53AF4594">
      <w:pPr>
        <w:pStyle w:val="41"/>
        <w:keepNext w:val="0"/>
        <w:keepLines w:val="0"/>
        <w:pageBreakBefore w:val="0"/>
        <w:widowControl w:val="0"/>
        <w:kinsoku/>
        <w:overflowPunct/>
        <w:bidi w:val="0"/>
        <w:rPr>
          <w:rFonts w:ascii="Times New Roman" w:hAnsi="Times New Roman"/>
          <w:color w:val="000000" w:themeColor="text1"/>
          <w:highlight w:val="none"/>
          <w:lang w:eastAsia="zh-CN"/>
          <w14:textFill>
            <w14:solidFill>
              <w14:schemeClr w14:val="tx1"/>
            </w14:solidFill>
          </w14:textFill>
        </w:rPr>
      </w:pPr>
    </w:p>
    <w:p w14:paraId="3FD9AB0B">
      <w:pPr>
        <w:keepNext w:val="0"/>
        <w:keepLines w:val="0"/>
        <w:pageBreakBefore w:val="0"/>
        <w:widowControl w:val="0"/>
        <w:kinsoku/>
        <w:overflowPunct/>
        <w:bidi w:val="0"/>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14:paraId="41418F52">
      <w:pPr>
        <w:keepNext w:val="0"/>
        <w:keepLines w:val="0"/>
        <w:pageBreakBefore w:val="0"/>
        <w:widowControl w:val="0"/>
        <w:kinsoku/>
        <w:overflowPunct/>
        <w:bidi w:val="0"/>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本投标人现参与____________项目（项目编号：____________）的采购活动，本公司承诺所供商品包装符合《商品包装政府采购需求标准（试行）》，快递包装符合《快递包装政府采购需求标准（试行）》。</w:t>
      </w:r>
    </w:p>
    <w:p w14:paraId="41507D7A">
      <w:pPr>
        <w:keepNext w:val="0"/>
        <w:keepLines w:val="0"/>
        <w:pageBreakBefore w:val="0"/>
        <w:widowControl w:val="0"/>
        <w:kinsoku/>
        <w:overflowPunct/>
        <w:bidi w:val="0"/>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14:paraId="57D60C0A">
      <w:pPr>
        <w:keepNext w:val="0"/>
        <w:keepLines w:val="0"/>
        <w:pageBreakBefore w:val="0"/>
        <w:widowControl w:val="0"/>
        <w:kinsoku/>
        <w:overflowPunct/>
        <w:bidi w:val="0"/>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如上述声明不真实，愿意按照政府采购有关法律法规的规定接受处罚。</w:t>
      </w:r>
    </w:p>
    <w:p w14:paraId="20A11418">
      <w:pPr>
        <w:keepNext w:val="0"/>
        <w:keepLines w:val="0"/>
        <w:pageBreakBefore w:val="0"/>
        <w:widowControl w:val="0"/>
        <w:kinsoku/>
        <w:overflowPunct/>
        <w:bidi w:val="0"/>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特此声明</w:t>
      </w:r>
    </w:p>
    <w:p w14:paraId="6063B372">
      <w:pPr>
        <w:keepNext w:val="0"/>
        <w:keepLines w:val="0"/>
        <w:pageBreakBefore w:val="0"/>
        <w:widowControl w:val="0"/>
        <w:kinsoku/>
        <w:overflowPunct/>
        <w:bidi w:val="0"/>
        <w:snapToGrid w:val="0"/>
        <w:spacing w:line="360" w:lineRule="auto"/>
        <w:ind w:firstLine="4440" w:firstLineChars="1850"/>
        <w:rPr>
          <w:rFonts w:ascii="Times New Roman" w:hAnsi="Times New Roman"/>
          <w:color w:val="000000" w:themeColor="text1"/>
          <w:sz w:val="24"/>
          <w:highlight w:val="none"/>
          <w14:textFill>
            <w14:solidFill>
              <w14:schemeClr w14:val="tx1"/>
            </w14:solidFill>
          </w14:textFill>
        </w:rPr>
      </w:pPr>
    </w:p>
    <w:p w14:paraId="1D00F04D">
      <w:pPr>
        <w:keepNext w:val="0"/>
        <w:keepLines w:val="0"/>
        <w:pageBreakBefore w:val="0"/>
        <w:widowControl w:val="0"/>
        <w:kinsoku/>
        <w:overflowPunct/>
        <w:bidi w:val="0"/>
        <w:snapToGrid w:val="0"/>
        <w:spacing w:line="360" w:lineRule="auto"/>
        <w:ind w:firstLine="4440" w:firstLineChars="1850"/>
        <w:rPr>
          <w:rFonts w:ascii="Times New Roman" w:hAnsi="Times New Roman"/>
          <w:color w:val="000000" w:themeColor="text1"/>
          <w:sz w:val="24"/>
          <w:highlight w:val="none"/>
          <w14:textFill>
            <w14:solidFill>
              <w14:schemeClr w14:val="tx1"/>
            </w14:solidFill>
          </w14:textFill>
        </w:rPr>
      </w:pPr>
    </w:p>
    <w:p w14:paraId="1C721154">
      <w:pPr>
        <w:keepNext w:val="0"/>
        <w:keepLines w:val="0"/>
        <w:pageBreakBefore w:val="0"/>
        <w:widowControl w:val="0"/>
        <w:kinsoku/>
        <w:overflowPunct/>
        <w:bidi w:val="0"/>
        <w:snapToGrid w:val="0"/>
        <w:spacing w:line="360" w:lineRule="auto"/>
        <w:ind w:firstLine="4440" w:firstLineChars="1850"/>
        <w:rPr>
          <w:rFonts w:ascii="Times New Roman" w:hAnsi="Times New Roman"/>
          <w:color w:val="000000" w:themeColor="text1"/>
          <w:sz w:val="24"/>
          <w:highlight w:val="none"/>
          <w14:textFill>
            <w14:solidFill>
              <w14:schemeClr w14:val="tx1"/>
            </w14:solidFill>
          </w14:textFill>
        </w:rPr>
      </w:pPr>
    </w:p>
    <w:p w14:paraId="565A07EE">
      <w:pPr>
        <w:pStyle w:val="34"/>
        <w:keepNext w:val="0"/>
        <w:keepLines w:val="0"/>
        <w:pageBreakBefore w:val="0"/>
        <w:widowControl w:val="0"/>
        <w:kinsoku/>
        <w:overflowPunct/>
        <w:bidi w:val="0"/>
        <w:snapToGrid w:val="0"/>
        <w:spacing w:line="360" w:lineRule="auto"/>
        <w:ind w:firstLine="4320" w:firstLineChars="1800"/>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投标人名称：</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（盖章）</w:t>
      </w:r>
    </w:p>
    <w:p w14:paraId="4205AF86">
      <w:pPr>
        <w:keepNext w:val="0"/>
        <w:keepLines w:val="0"/>
        <w:pageBreakBefore w:val="0"/>
        <w:widowControl w:val="0"/>
        <w:kinsoku/>
        <w:overflowPunct/>
        <w:bidi w:val="0"/>
        <w:spacing w:line="360" w:lineRule="auto"/>
        <w:ind w:firstLine="5040" w:firstLineChars="2100"/>
        <w:rPr>
          <w:rFonts w:ascii="Times New Roman" w:hAnsi="Times New Roman"/>
          <w:b/>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14:paraId="73570CD8">
      <w:pPr>
        <w:keepNext w:val="0"/>
        <w:keepLines w:val="0"/>
        <w:pageBreakBefore w:val="0"/>
        <w:widowControl w:val="0"/>
        <w:kinsoku/>
        <w:overflowPunct/>
        <w:bidi w:val="0"/>
        <w:snapToGrid w:val="0"/>
        <w:spacing w:line="360" w:lineRule="auto"/>
        <w:rPr>
          <w:rFonts w:ascii="Times New Roman" w:hAnsi="Times New Roman"/>
          <w:b/>
          <w:color w:val="000000" w:themeColor="text1"/>
          <w:kern w:val="0"/>
          <w:sz w:val="24"/>
          <w:highlight w:val="none"/>
          <w14:textFill>
            <w14:solidFill>
              <w14:schemeClr w14:val="tx1"/>
            </w14:solidFill>
          </w14:textFill>
        </w:rPr>
      </w:pPr>
    </w:p>
    <w:p w14:paraId="6337C9DE">
      <w:pPr>
        <w:keepNext w:val="0"/>
        <w:keepLines w:val="0"/>
        <w:pageBreakBefore w:val="0"/>
        <w:widowControl w:val="0"/>
        <w:kinsoku/>
        <w:overflowPunct/>
        <w:bidi w:val="0"/>
        <w:snapToGrid w:val="0"/>
        <w:spacing w:line="360" w:lineRule="auto"/>
        <w:rPr>
          <w:rFonts w:ascii="Times New Roman" w:hAnsi="Times New Roman"/>
          <w:b/>
          <w:color w:val="000000" w:themeColor="text1"/>
          <w:kern w:val="0"/>
          <w:sz w:val="24"/>
          <w:highlight w:val="none"/>
          <w14:textFill>
            <w14:solidFill>
              <w14:schemeClr w14:val="tx1"/>
            </w14:solidFill>
          </w14:textFill>
        </w:rPr>
      </w:pPr>
    </w:p>
    <w:p w14:paraId="47690B2E">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6A365B2D">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Cs/>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w:t>
      </w:r>
      <w:r>
        <w:rPr>
          <w:rFonts w:hint="eastAsia" w:ascii="宋体" w:hAnsi="宋体" w:cs="宋体"/>
          <w:b/>
          <w:kern w:val="0"/>
          <w:sz w:val="24"/>
          <w:highlight w:val="none"/>
          <w:lang w:val="en-US" w:eastAsia="zh-CN"/>
        </w:rPr>
        <w:t>六</w:t>
      </w:r>
      <w:r>
        <w:rPr>
          <w:rFonts w:hint="eastAsia" w:ascii="宋体" w:hAnsi="宋体" w:cs="宋体"/>
          <w:b/>
          <w:kern w:val="0"/>
          <w:sz w:val="24"/>
          <w:highlight w:val="none"/>
        </w:rPr>
        <w:t>）中小企业声明</w:t>
      </w:r>
      <w:r>
        <w:rPr>
          <w:rFonts w:hint="eastAsia" w:ascii="宋体" w:hAnsi="宋体" w:cs="宋体"/>
          <w:bCs/>
          <w:sz w:val="24"/>
          <w:highlight w:val="none"/>
        </w:rPr>
        <w:t>（如不涉及，可不提供）</w:t>
      </w:r>
    </w:p>
    <w:p w14:paraId="4CF8E50E">
      <w:pPr>
        <w:keepNext w:val="0"/>
        <w:keepLines w:val="0"/>
        <w:pageBreakBefore w:val="0"/>
        <w:widowControl w:val="0"/>
        <w:tabs>
          <w:tab w:val="left" w:pos="1680"/>
        </w:tabs>
        <w:kinsoku/>
        <w:overflowPunct/>
        <w:topLinePunct/>
        <w:bidi w:val="0"/>
        <w:adjustRightInd w:val="0"/>
        <w:snapToGrid w:val="0"/>
        <w:spacing w:line="360" w:lineRule="auto"/>
        <w:ind w:firstLine="482"/>
        <w:outlineLvl w:val="2"/>
        <w:rPr>
          <w:rFonts w:ascii="宋体" w:hAnsi="宋体" w:cs="宋体"/>
          <w:b/>
          <w:kern w:val="0"/>
          <w:sz w:val="24"/>
          <w:highlight w:val="none"/>
        </w:rPr>
      </w:pPr>
    </w:p>
    <w:p w14:paraId="652ECAAE">
      <w:pPr>
        <w:widowControl/>
        <w:numPr>
          <w:ilvl w:val="0"/>
          <w:numId w:val="0"/>
        </w:numPr>
        <w:snapToGrid w:val="0"/>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中小企业声明函（工程、服务）</w:t>
      </w:r>
    </w:p>
    <w:p w14:paraId="066E219E">
      <w:pPr>
        <w:spacing w:line="480" w:lineRule="auto"/>
        <w:ind w:firstLine="448" w:firstLineChars="200"/>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000000"/>
          <w:spacing w:val="-8"/>
          <w:sz w:val="24"/>
          <w:highlight w:val="none"/>
          <w:u w:val="single"/>
          <w:shd w:val="clear" w:color="auto" w:fill="FFFFFF"/>
        </w:rPr>
        <w:t>（单位名称）</w:t>
      </w:r>
      <w:r>
        <w:rPr>
          <w:rFonts w:hint="eastAsia" w:ascii="宋体" w:hAnsi="宋体" w:eastAsia="宋体" w:cs="宋体"/>
          <w:color w:val="000000"/>
          <w:spacing w:val="-8"/>
          <w:sz w:val="24"/>
          <w:highlight w:val="none"/>
          <w:shd w:val="clear" w:color="auto" w:fill="FFFFFF"/>
        </w:rPr>
        <w:t>的</w:t>
      </w:r>
      <w:r>
        <w:rPr>
          <w:rFonts w:hint="eastAsia" w:ascii="宋体" w:hAnsi="宋体" w:eastAsia="宋体" w:cs="宋体"/>
          <w:color w:val="000000"/>
          <w:spacing w:val="-8"/>
          <w:sz w:val="24"/>
          <w:highlight w:val="none"/>
          <w:u w:val="single"/>
          <w:shd w:val="clear" w:color="auto" w:fill="FFFFFF"/>
        </w:rPr>
        <w:t>（项目名称）</w:t>
      </w:r>
      <w:r>
        <w:rPr>
          <w:rFonts w:hint="eastAsia" w:ascii="宋体" w:hAnsi="宋体" w:eastAsia="宋体" w:cs="宋体"/>
          <w:color w:val="000000"/>
          <w:spacing w:val="-8"/>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77B49A2E">
      <w:pPr>
        <w:spacing w:line="480" w:lineRule="auto"/>
        <w:ind w:firstLine="448" w:firstLineChars="200"/>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 xml:space="preserve">1.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 于</w:t>
      </w:r>
      <w:r>
        <w:rPr>
          <w:rFonts w:hint="eastAsia" w:ascii="宋体" w:hAnsi="宋体" w:eastAsia="宋体" w:cs="宋体"/>
          <w:color w:val="000000"/>
          <w:spacing w:val="-8"/>
          <w:sz w:val="24"/>
          <w:highlight w:val="none"/>
          <w:u w:val="single"/>
          <w:shd w:val="clear" w:color="auto" w:fill="FFFFFF"/>
        </w:rPr>
        <w:t>（采购文件中明确的所属行业）</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 ，属于（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10C4544E">
      <w:pPr>
        <w:spacing w:line="480" w:lineRule="auto"/>
        <w:ind w:firstLine="448" w:firstLineChars="200"/>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 xml:space="preserve">2.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，属于（</w:t>
      </w:r>
      <w:r>
        <w:rPr>
          <w:rFonts w:hint="eastAsia" w:ascii="宋体" w:hAnsi="宋体" w:eastAsia="宋体" w:cs="宋体"/>
          <w:color w:val="000000"/>
          <w:spacing w:val="-8"/>
          <w:sz w:val="24"/>
          <w:highlight w:val="none"/>
          <w:u w:val="single"/>
          <w:shd w:val="clear" w:color="auto" w:fill="FFFFFF"/>
        </w:rPr>
        <w:t>采购文件中明确的所属行业</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233CEEEE">
      <w:pPr>
        <w:spacing w:line="480" w:lineRule="auto"/>
        <w:ind w:firstLine="448" w:firstLineChars="200"/>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w:t>
      </w:r>
    </w:p>
    <w:p w14:paraId="2550A89E">
      <w:pPr>
        <w:spacing w:line="480" w:lineRule="auto"/>
        <w:ind w:firstLine="448" w:firstLineChars="200"/>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以上企业，不属于大企业的分支机构，不存在控股股东为大企业的情形，也不存在与大企业的负责人为同一人的情形。</w:t>
      </w:r>
    </w:p>
    <w:p w14:paraId="3AAB8964">
      <w:pPr>
        <w:spacing w:line="480" w:lineRule="auto"/>
        <w:ind w:firstLine="448" w:firstLineChars="200"/>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本企业对上述声明内容的真实性负责。如有虚假，将依法承担相应责任。</w:t>
      </w:r>
    </w:p>
    <w:p w14:paraId="5F41171C">
      <w:pPr>
        <w:spacing w:line="360" w:lineRule="auto"/>
        <w:ind w:firstLine="5152" w:firstLineChars="2300"/>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企业名称（盖章）：</w:t>
      </w:r>
    </w:p>
    <w:p w14:paraId="778E0FA8">
      <w:pPr>
        <w:keepNext w:val="0"/>
        <w:keepLines w:val="0"/>
        <w:pageBreakBefore w:val="0"/>
        <w:widowControl w:val="0"/>
        <w:kinsoku/>
        <w:wordWrap/>
        <w:overflowPunct/>
        <w:topLinePunct w:val="0"/>
        <w:autoSpaceDE/>
        <w:autoSpaceDN/>
        <w:bidi w:val="0"/>
        <w:adjustRightInd/>
        <w:snapToGrid/>
        <w:spacing w:line="360" w:lineRule="auto"/>
        <w:ind w:firstLine="5152" w:firstLineChars="2300"/>
        <w:textAlignment w:val="auto"/>
        <w:rPr>
          <w:rFonts w:hint="default" w:ascii="Times New Roman" w:hAnsi="Times New Roman" w:eastAsia="宋体" w:cs="Times New Roman"/>
          <w:b w:val="0"/>
          <w:i w:val="0"/>
          <w:caps w:val="0"/>
          <w:color w:val="auto"/>
          <w:spacing w:val="-8"/>
          <w:sz w:val="24"/>
          <w:szCs w:val="24"/>
          <w:shd w:val="clear" w:color="auto" w:fill="FFFFFF"/>
        </w:rPr>
      </w:pPr>
      <w:r>
        <w:rPr>
          <w:rFonts w:hint="eastAsia" w:ascii="宋体" w:hAnsi="宋体" w:eastAsia="宋体" w:cs="宋体"/>
          <w:color w:val="000000"/>
          <w:spacing w:val="-8"/>
          <w:sz w:val="24"/>
          <w:highlight w:val="none"/>
          <w:shd w:val="clear" w:color="auto" w:fill="FFFFFF"/>
        </w:rPr>
        <w:t>日 期：</w:t>
      </w:r>
    </w:p>
    <w:p w14:paraId="3DEF0E57">
      <w:pPr>
        <w:keepNext w:val="0"/>
        <w:keepLines w:val="0"/>
        <w:pageBreakBefore w:val="0"/>
        <w:widowControl w:val="0"/>
        <w:kinsoku/>
        <w:overflowPunct/>
        <w:topLinePunct/>
        <w:bidi w:val="0"/>
        <w:spacing w:line="360" w:lineRule="auto"/>
        <w:ind w:firstLine="482"/>
        <w:jc w:val="left"/>
        <w:rPr>
          <w:rFonts w:ascii="宋体" w:hAnsi="宋体" w:cs="宋体"/>
          <w:b/>
          <w:sz w:val="24"/>
          <w:highlight w:val="none"/>
        </w:rPr>
      </w:pPr>
      <w:r>
        <w:rPr>
          <w:rFonts w:hint="eastAsia" w:ascii="宋体" w:hAnsi="宋体" w:cs="宋体"/>
          <w:b/>
          <w:sz w:val="24"/>
          <w:highlight w:val="none"/>
        </w:rPr>
        <w:t>注：</w:t>
      </w:r>
    </w:p>
    <w:p w14:paraId="7C1AFE3E">
      <w:pPr>
        <w:keepNext w:val="0"/>
        <w:keepLines w:val="0"/>
        <w:pageBreakBefore w:val="0"/>
        <w:widowControl w:val="0"/>
        <w:kinsoku/>
        <w:overflowPunct/>
        <w:topLinePunct/>
        <w:bidi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1.从业人员、营业收入、资产总额填报上一年度年报数据，无上一年度数据的新成立企业可不填报。</w:t>
      </w:r>
    </w:p>
    <w:p w14:paraId="31735CED">
      <w:pPr>
        <w:keepNext w:val="0"/>
        <w:keepLines w:val="0"/>
        <w:pageBreakBefore w:val="0"/>
        <w:widowControl w:val="0"/>
        <w:kinsoku/>
        <w:overflowPunct/>
        <w:topLinePunct/>
        <w:bidi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2.专门面向中小企业的采购项目，此项内容作为资格条件，应在投标人资格证明文件部分上传。</w:t>
      </w:r>
    </w:p>
    <w:p w14:paraId="0298CE08">
      <w:pPr>
        <w:keepNext w:val="0"/>
        <w:keepLines w:val="0"/>
        <w:pageBreakBefore w:val="0"/>
        <w:widowControl w:val="0"/>
        <w:kinsoku/>
        <w:overflowPunct/>
        <w:topLinePunct/>
        <w:bidi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3.非专门面向中小企业的采购项目，如未提供，不予认可。</w:t>
      </w:r>
    </w:p>
    <w:p w14:paraId="55A98660">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Cs/>
          <w:sz w:val="24"/>
          <w:highlight w:val="none"/>
        </w:rPr>
      </w:pPr>
      <w:r>
        <w:rPr>
          <w:rFonts w:ascii="宋体" w:hAnsi="宋体" w:cs="宋体"/>
          <w:b/>
          <w:sz w:val="24"/>
          <w:highlight w:val="none"/>
        </w:rPr>
        <w:br w:type="page"/>
      </w:r>
      <w:r>
        <w:rPr>
          <w:rFonts w:hint="eastAsia" w:ascii="宋体" w:hAnsi="宋体" w:cs="宋体"/>
          <w:b/>
          <w:kern w:val="0"/>
          <w:sz w:val="24"/>
          <w:highlight w:val="none"/>
        </w:rPr>
        <w:t>（</w:t>
      </w:r>
      <w:r>
        <w:rPr>
          <w:rFonts w:hint="eastAsia" w:ascii="宋体" w:hAnsi="宋体" w:cs="宋体"/>
          <w:b/>
          <w:kern w:val="0"/>
          <w:sz w:val="24"/>
          <w:highlight w:val="none"/>
          <w:lang w:val="en-US" w:eastAsia="zh-CN"/>
        </w:rPr>
        <w:t>七</w:t>
      </w:r>
      <w:r>
        <w:rPr>
          <w:rFonts w:hint="eastAsia" w:ascii="宋体" w:hAnsi="宋体" w:cs="宋体"/>
          <w:b/>
          <w:kern w:val="0"/>
          <w:sz w:val="24"/>
          <w:highlight w:val="none"/>
        </w:rPr>
        <w:t>）残疾人福利性单位声明函</w:t>
      </w:r>
      <w:r>
        <w:rPr>
          <w:rFonts w:hint="eastAsia" w:ascii="宋体" w:hAnsi="宋体" w:cs="宋体"/>
          <w:bCs/>
          <w:sz w:val="24"/>
          <w:highlight w:val="none"/>
        </w:rPr>
        <w:t>（如不涉及，可不提供）</w:t>
      </w:r>
    </w:p>
    <w:p w14:paraId="7C9C8052">
      <w:pPr>
        <w:keepNext w:val="0"/>
        <w:keepLines w:val="0"/>
        <w:pageBreakBefore w:val="0"/>
        <w:widowControl w:val="0"/>
        <w:tabs>
          <w:tab w:val="left" w:pos="1680"/>
        </w:tabs>
        <w:kinsoku/>
        <w:overflowPunct/>
        <w:topLinePunct/>
        <w:bidi w:val="0"/>
        <w:adjustRightInd w:val="0"/>
        <w:snapToGrid w:val="0"/>
        <w:spacing w:line="360" w:lineRule="auto"/>
        <w:ind w:firstLine="482"/>
        <w:outlineLvl w:val="2"/>
        <w:rPr>
          <w:rFonts w:ascii="宋体" w:hAnsi="宋体" w:cs="宋体"/>
          <w:b/>
          <w:kern w:val="0"/>
          <w:sz w:val="24"/>
          <w:highlight w:val="none"/>
        </w:rPr>
      </w:pPr>
    </w:p>
    <w:p w14:paraId="1CED75F6">
      <w:pPr>
        <w:keepNext w:val="0"/>
        <w:keepLines w:val="0"/>
        <w:pageBreakBefore w:val="0"/>
        <w:widowControl w:val="0"/>
        <w:kinsoku/>
        <w:overflowPunct/>
        <w:topLinePunct/>
        <w:bidi w:val="0"/>
        <w:spacing w:line="360" w:lineRule="auto"/>
        <w:ind w:firstLine="506"/>
        <w:jc w:val="center"/>
        <w:rPr>
          <w:rFonts w:ascii="宋体" w:hAnsi="宋体" w:cs="宋体"/>
          <w:b/>
          <w:spacing w:val="6"/>
          <w:sz w:val="24"/>
          <w:highlight w:val="none"/>
        </w:rPr>
      </w:pPr>
    </w:p>
    <w:p w14:paraId="1CFA8C17">
      <w:pPr>
        <w:keepNext w:val="0"/>
        <w:keepLines w:val="0"/>
        <w:pageBreakBefore w:val="0"/>
        <w:widowControl w:val="0"/>
        <w:kinsoku/>
        <w:overflowPunct/>
        <w:topLinePunct/>
        <w:bidi w:val="0"/>
        <w:adjustRightInd w:val="0"/>
        <w:snapToGrid w:val="0"/>
        <w:spacing w:line="360" w:lineRule="auto"/>
        <w:ind w:firstLine="562"/>
        <w:jc w:val="center"/>
        <w:rPr>
          <w:b/>
          <w:kern w:val="0"/>
          <w:sz w:val="28"/>
          <w:szCs w:val="28"/>
          <w:highlight w:val="none"/>
        </w:rPr>
      </w:pPr>
      <w:r>
        <w:rPr>
          <w:rFonts w:hint="eastAsia"/>
          <w:b/>
          <w:kern w:val="0"/>
          <w:sz w:val="28"/>
          <w:szCs w:val="28"/>
          <w:highlight w:val="none"/>
        </w:rPr>
        <w:t>残疾人福利性单位声明函</w:t>
      </w:r>
    </w:p>
    <w:p w14:paraId="624F562D">
      <w:pPr>
        <w:keepNext w:val="0"/>
        <w:keepLines w:val="0"/>
        <w:pageBreakBefore w:val="0"/>
        <w:widowControl w:val="0"/>
        <w:kinsoku/>
        <w:overflowPunct/>
        <w:topLinePunct/>
        <w:bidi w:val="0"/>
        <w:spacing w:line="360" w:lineRule="auto"/>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highlight w:val="none"/>
          <w:u w:val="single"/>
        </w:rPr>
        <w:t xml:space="preserve">          </w:t>
      </w:r>
      <w:r>
        <w:rPr>
          <w:rFonts w:hint="eastAsia" w:ascii="宋体" w:hAnsi="宋体" w:cs="宋体"/>
          <w:sz w:val="24"/>
          <w:highlight w:val="none"/>
        </w:rPr>
        <w:t>单位的</w:t>
      </w:r>
      <w:r>
        <w:rPr>
          <w:rFonts w:hint="eastAsia" w:ascii="宋体" w:hAnsi="宋体" w:cs="宋体"/>
          <w:sz w:val="24"/>
          <w:highlight w:val="none"/>
          <w:u w:val="single"/>
        </w:rPr>
        <w:t xml:space="preserve">         </w:t>
      </w:r>
      <w:r>
        <w:rPr>
          <w:rFonts w:hint="eastAsia" w:ascii="宋体" w:hAnsi="宋体" w:cs="宋体"/>
          <w:sz w:val="24"/>
          <w:highlight w:val="none"/>
        </w:rPr>
        <w:t>项目（项目编号：__________）采购活动，提供本单位的</w:t>
      </w:r>
      <w:r>
        <w:rPr>
          <w:rFonts w:hint="eastAsia" w:ascii="宋体" w:hAnsi="宋体" w:cs="宋体"/>
          <w:sz w:val="24"/>
          <w:highlight w:val="none"/>
          <w:lang w:val="en-US" w:eastAsia="zh-CN"/>
        </w:rPr>
        <w:t>服务</w:t>
      </w:r>
      <w:r>
        <w:rPr>
          <w:rFonts w:hint="eastAsia" w:ascii="宋体" w:hAnsi="宋体" w:cs="宋体"/>
          <w:sz w:val="24"/>
          <w:highlight w:val="none"/>
        </w:rPr>
        <w:t>，或者提供其他残疾人福利性单位的</w:t>
      </w:r>
      <w:r>
        <w:rPr>
          <w:rFonts w:hint="eastAsia" w:ascii="宋体" w:hAnsi="宋体" w:cs="宋体"/>
          <w:sz w:val="24"/>
          <w:highlight w:val="none"/>
          <w:lang w:val="en-US" w:eastAsia="zh-CN"/>
        </w:rPr>
        <w:t>服务</w:t>
      </w:r>
      <w:r>
        <w:rPr>
          <w:rFonts w:hint="eastAsia" w:ascii="宋体" w:hAnsi="宋体" w:cs="宋体"/>
          <w:sz w:val="24"/>
          <w:highlight w:val="none"/>
        </w:rPr>
        <w:t>（不包括使用非残疾人福利性单位注册商标的</w:t>
      </w:r>
      <w:r>
        <w:rPr>
          <w:rFonts w:hint="eastAsia" w:ascii="宋体" w:hAnsi="宋体" w:cs="宋体"/>
          <w:sz w:val="24"/>
          <w:highlight w:val="none"/>
          <w:lang w:val="en-US" w:eastAsia="zh-CN"/>
        </w:rPr>
        <w:t>服务</w:t>
      </w:r>
      <w:r>
        <w:rPr>
          <w:rFonts w:hint="eastAsia" w:ascii="宋体" w:hAnsi="宋体" w:cs="宋体"/>
          <w:sz w:val="24"/>
          <w:highlight w:val="none"/>
        </w:rPr>
        <w:t>）。</w:t>
      </w:r>
    </w:p>
    <w:p w14:paraId="019970AA">
      <w:pPr>
        <w:keepNext w:val="0"/>
        <w:keepLines w:val="0"/>
        <w:pageBreakBefore w:val="0"/>
        <w:widowControl w:val="0"/>
        <w:kinsoku/>
        <w:overflowPunct/>
        <w:topLinePunct/>
        <w:bidi w:val="0"/>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625018FC">
      <w:pPr>
        <w:keepNext w:val="0"/>
        <w:keepLines w:val="0"/>
        <w:pageBreakBefore w:val="0"/>
        <w:widowControl w:val="0"/>
        <w:kinsoku/>
        <w:overflowPunct/>
        <w:topLinePunct/>
        <w:bidi w:val="0"/>
        <w:spacing w:line="360" w:lineRule="auto"/>
        <w:ind w:firstLine="504" w:firstLineChars="200"/>
        <w:rPr>
          <w:rFonts w:ascii="宋体" w:hAnsi="宋体" w:cs="宋体"/>
          <w:spacing w:val="6"/>
          <w:sz w:val="24"/>
          <w:highlight w:val="none"/>
        </w:rPr>
      </w:pPr>
    </w:p>
    <w:p w14:paraId="5D372442">
      <w:pPr>
        <w:keepNext w:val="0"/>
        <w:keepLines w:val="0"/>
        <w:pageBreakBefore w:val="0"/>
        <w:widowControl w:val="0"/>
        <w:kinsoku/>
        <w:overflowPunct/>
        <w:topLinePunct/>
        <w:bidi w:val="0"/>
        <w:spacing w:line="360" w:lineRule="auto"/>
        <w:ind w:firstLine="504" w:firstLineChars="200"/>
        <w:rPr>
          <w:rFonts w:ascii="宋体" w:hAnsi="宋体" w:cs="宋体"/>
          <w:spacing w:val="6"/>
          <w:sz w:val="24"/>
          <w:highlight w:val="none"/>
        </w:rPr>
      </w:pPr>
    </w:p>
    <w:p w14:paraId="2D5A8C73">
      <w:pPr>
        <w:pStyle w:val="34"/>
        <w:keepNext w:val="0"/>
        <w:keepLines w:val="0"/>
        <w:pageBreakBefore w:val="0"/>
        <w:widowControl w:val="0"/>
        <w:kinsoku/>
        <w:overflowPunct/>
        <w:topLinePunct/>
        <w:bidi w:val="0"/>
        <w:snapToGrid w:val="0"/>
        <w:spacing w:line="360" w:lineRule="auto"/>
        <w:ind w:firstLine="4320" w:firstLineChars="1800"/>
        <w:rPr>
          <w:rFonts w:cs="宋体"/>
          <w:sz w:val="24"/>
          <w:szCs w:val="24"/>
          <w:highlight w:val="none"/>
        </w:rPr>
      </w:pPr>
      <w:r>
        <w:rPr>
          <w:rFonts w:hint="eastAsia" w:cs="宋体"/>
          <w:sz w:val="24"/>
          <w:szCs w:val="24"/>
          <w:highlight w:val="none"/>
        </w:rPr>
        <w:t xml:space="preserve"> 投标人名称：</w:t>
      </w:r>
      <w:r>
        <w:rPr>
          <w:rFonts w:hint="eastAsia" w:cs="宋体"/>
          <w:sz w:val="24"/>
          <w:szCs w:val="24"/>
          <w:highlight w:val="none"/>
          <w:u w:val="single"/>
        </w:rPr>
        <w:t xml:space="preserve">             </w:t>
      </w:r>
      <w:r>
        <w:rPr>
          <w:rFonts w:hint="eastAsia" w:cs="宋体"/>
          <w:sz w:val="24"/>
          <w:szCs w:val="24"/>
          <w:highlight w:val="none"/>
        </w:rPr>
        <w:t>（盖章）</w:t>
      </w:r>
    </w:p>
    <w:p w14:paraId="44F176F3">
      <w:pPr>
        <w:keepNext w:val="0"/>
        <w:keepLines w:val="0"/>
        <w:pageBreakBefore w:val="0"/>
        <w:widowControl w:val="0"/>
        <w:kinsoku/>
        <w:overflowPunct/>
        <w:topLinePunct/>
        <w:bidi w:val="0"/>
        <w:spacing w:line="360" w:lineRule="auto"/>
        <w:ind w:firstLine="5040" w:firstLineChars="2100"/>
        <w:rPr>
          <w:rFonts w:ascii="宋体" w:hAnsi="宋体" w:cs="宋体"/>
          <w:b/>
          <w:sz w:val="24"/>
          <w:highlight w:val="none"/>
        </w:rPr>
      </w:pPr>
      <w:r>
        <w:rPr>
          <w:rFonts w:hint="eastAsia" w:ascii="宋体" w:hAnsi="宋体" w:cs="宋体"/>
          <w:sz w:val="24"/>
          <w:highlight w:val="none"/>
        </w:rPr>
        <w:t>日 期：</w:t>
      </w:r>
    </w:p>
    <w:p w14:paraId="7B5D1991">
      <w:pPr>
        <w:keepNext w:val="0"/>
        <w:keepLines w:val="0"/>
        <w:pageBreakBefore w:val="0"/>
        <w:widowControl w:val="0"/>
        <w:kinsoku/>
        <w:overflowPunct/>
        <w:topLinePunct/>
        <w:bidi w:val="0"/>
        <w:spacing w:line="360" w:lineRule="auto"/>
        <w:ind w:firstLine="482"/>
        <w:rPr>
          <w:rFonts w:ascii="宋体" w:hAnsi="宋体" w:cs="宋体"/>
          <w:b/>
          <w:sz w:val="24"/>
          <w:highlight w:val="none"/>
        </w:rPr>
      </w:pPr>
    </w:p>
    <w:p w14:paraId="462092AD">
      <w:pPr>
        <w:keepNext w:val="0"/>
        <w:keepLines w:val="0"/>
        <w:pageBreakBefore w:val="0"/>
        <w:widowControl w:val="0"/>
        <w:kinsoku/>
        <w:overflowPunct/>
        <w:topLinePunct/>
        <w:bidi w:val="0"/>
        <w:spacing w:line="360" w:lineRule="auto"/>
        <w:ind w:firstLine="482" w:firstLineChars="200"/>
        <w:rPr>
          <w:rFonts w:ascii="宋体" w:hAnsi="宋体" w:cs="宋体"/>
          <w:b/>
          <w:sz w:val="24"/>
          <w:highlight w:val="none"/>
        </w:rPr>
      </w:pPr>
      <w:r>
        <w:rPr>
          <w:rFonts w:hint="eastAsia" w:ascii="宋体" w:hAnsi="宋体" w:cs="宋体"/>
          <w:b/>
          <w:sz w:val="24"/>
          <w:highlight w:val="none"/>
        </w:rPr>
        <w:t>注：</w:t>
      </w:r>
    </w:p>
    <w:p w14:paraId="73E54454">
      <w:pPr>
        <w:keepNext w:val="0"/>
        <w:keepLines w:val="0"/>
        <w:pageBreakBefore w:val="0"/>
        <w:widowControl w:val="0"/>
        <w:kinsoku/>
        <w:overflowPunct/>
        <w:topLinePunct/>
        <w:bidi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1.专门面向中小企业的采购项目，残疾人福利性单位参加本项目此项内容作为资格条件，应在投标人资格证明文件部分上传。</w:t>
      </w:r>
    </w:p>
    <w:p w14:paraId="6FF96A72">
      <w:pPr>
        <w:pStyle w:val="13"/>
        <w:keepNext w:val="0"/>
        <w:keepLines w:val="0"/>
        <w:pageBreakBefore w:val="0"/>
        <w:widowControl w:val="0"/>
        <w:kinsoku/>
        <w:overflowPunct/>
        <w:topLinePunct/>
        <w:bidi w:val="0"/>
        <w:ind w:firstLine="482" w:firstLineChars="200"/>
        <w:rPr>
          <w:rFonts w:hAnsi="宋体" w:cs="宋体"/>
          <w:b/>
          <w:kern w:val="0"/>
          <w:sz w:val="24"/>
          <w:highlight w:val="none"/>
        </w:rPr>
      </w:pPr>
      <w:r>
        <w:rPr>
          <w:rFonts w:hint="eastAsia" w:hAnsi="宋体" w:cs="宋体"/>
          <w:b/>
          <w:sz w:val="24"/>
          <w:highlight w:val="none"/>
        </w:rPr>
        <w:t>2.非专门面向中小企业的采购项目，如未提供，不予认可。</w:t>
      </w:r>
    </w:p>
    <w:p w14:paraId="079C52ED">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Cs/>
          <w:sz w:val="24"/>
          <w:highlight w:val="none"/>
        </w:rPr>
      </w:pPr>
      <w:r>
        <w:rPr>
          <w:rFonts w:ascii="宋体" w:hAnsi="宋体" w:cs="宋体"/>
          <w:b/>
          <w:kern w:val="0"/>
          <w:sz w:val="24"/>
          <w:szCs w:val="21"/>
          <w:highlight w:val="none"/>
        </w:rPr>
        <w:br w:type="page"/>
      </w:r>
      <w:r>
        <w:rPr>
          <w:rFonts w:ascii="宋体" w:hAnsi="宋体" w:cs="宋体"/>
          <w:b/>
          <w:kern w:val="0"/>
          <w:sz w:val="24"/>
          <w:highlight w:val="none"/>
        </w:rPr>
        <w:t>（</w:t>
      </w:r>
      <w:r>
        <w:rPr>
          <w:rFonts w:hint="eastAsia" w:ascii="宋体" w:hAnsi="宋体" w:cs="宋体"/>
          <w:b/>
          <w:kern w:val="0"/>
          <w:sz w:val="24"/>
          <w:highlight w:val="none"/>
          <w:lang w:val="en-US" w:eastAsia="zh-CN"/>
        </w:rPr>
        <w:t>八</w:t>
      </w:r>
      <w:r>
        <w:rPr>
          <w:rFonts w:ascii="宋体" w:hAnsi="宋体" w:cs="宋体"/>
          <w:b/>
          <w:kern w:val="0"/>
          <w:sz w:val="24"/>
          <w:highlight w:val="none"/>
        </w:rPr>
        <w:t>）监狱企业</w:t>
      </w:r>
      <w:r>
        <w:rPr>
          <w:rFonts w:hint="eastAsia" w:ascii="宋体" w:hAnsi="宋体" w:cs="宋体"/>
          <w:b/>
          <w:kern w:val="0"/>
          <w:sz w:val="24"/>
          <w:highlight w:val="none"/>
        </w:rPr>
        <w:t>声明函</w:t>
      </w:r>
      <w:r>
        <w:rPr>
          <w:rFonts w:hint="eastAsia" w:ascii="宋体" w:hAnsi="宋体" w:cs="宋体"/>
          <w:bCs/>
          <w:sz w:val="24"/>
          <w:highlight w:val="none"/>
        </w:rPr>
        <w:t>（如不涉及，可不提供）</w:t>
      </w:r>
    </w:p>
    <w:p w14:paraId="1EEACD70">
      <w:pPr>
        <w:keepNext w:val="0"/>
        <w:keepLines w:val="0"/>
        <w:pageBreakBefore w:val="0"/>
        <w:widowControl w:val="0"/>
        <w:tabs>
          <w:tab w:val="left" w:pos="1680"/>
        </w:tabs>
        <w:kinsoku/>
        <w:overflowPunct/>
        <w:topLinePunct/>
        <w:bidi w:val="0"/>
        <w:adjustRightInd w:val="0"/>
        <w:snapToGrid w:val="0"/>
        <w:spacing w:line="360" w:lineRule="auto"/>
        <w:ind w:firstLine="482"/>
        <w:outlineLvl w:val="2"/>
        <w:rPr>
          <w:rFonts w:ascii="宋体" w:hAnsi="宋体" w:cs="宋体"/>
          <w:b/>
          <w:kern w:val="0"/>
          <w:sz w:val="24"/>
          <w:highlight w:val="none"/>
        </w:rPr>
      </w:pPr>
    </w:p>
    <w:p w14:paraId="7DE7345A">
      <w:pPr>
        <w:keepNext w:val="0"/>
        <w:keepLines w:val="0"/>
        <w:pageBreakBefore w:val="0"/>
        <w:widowControl w:val="0"/>
        <w:kinsoku/>
        <w:overflowPunct/>
        <w:topLinePunct/>
        <w:bidi w:val="0"/>
        <w:adjustRightInd w:val="0"/>
        <w:snapToGrid w:val="0"/>
        <w:spacing w:line="360" w:lineRule="auto"/>
        <w:ind w:firstLine="562"/>
        <w:jc w:val="center"/>
        <w:rPr>
          <w:b/>
          <w:kern w:val="0"/>
          <w:sz w:val="28"/>
          <w:szCs w:val="28"/>
          <w:highlight w:val="none"/>
        </w:rPr>
      </w:pPr>
      <w:r>
        <w:rPr>
          <w:b/>
          <w:kern w:val="0"/>
          <w:sz w:val="28"/>
          <w:szCs w:val="28"/>
          <w:highlight w:val="none"/>
        </w:rPr>
        <w:t>监狱企业声明函</w:t>
      </w:r>
    </w:p>
    <w:p w14:paraId="08E0F4F1">
      <w:pPr>
        <w:keepNext w:val="0"/>
        <w:keepLines w:val="0"/>
        <w:pageBreakBefore w:val="0"/>
        <w:widowControl w:val="0"/>
        <w:kinsoku/>
        <w:overflowPunct/>
        <w:topLinePunct/>
        <w:bidi w:val="0"/>
        <w:snapToGrid w:val="0"/>
        <w:spacing w:line="480" w:lineRule="exact"/>
        <w:ind w:firstLine="480" w:firstLineChars="200"/>
        <w:textAlignment w:val="baseline"/>
        <w:rPr>
          <w:sz w:val="24"/>
          <w:highlight w:val="none"/>
        </w:rPr>
      </w:pPr>
      <w:r>
        <w:rPr>
          <w:sz w:val="24"/>
          <w:highlight w:val="none"/>
        </w:rPr>
        <w:t>本单位郑重声明，根据《关于政府采购支持监狱企业发展有关问题的通知》（财库〔2014〕68号）的规定，本单位为符合条件的监狱企业，且本单位参加</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单位的</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项目</w:t>
      </w:r>
      <w:r>
        <w:rPr>
          <w:rFonts w:hint="eastAsia" w:ascii="宋体" w:hAnsi="宋体" w:cs="宋体"/>
          <w:sz w:val="24"/>
          <w:highlight w:val="none"/>
        </w:rPr>
        <w:t>（项目编号：__________）</w:t>
      </w:r>
      <w:r>
        <w:rPr>
          <w:sz w:val="24"/>
          <w:highlight w:val="none"/>
        </w:rPr>
        <w:t>采购活动</w:t>
      </w:r>
      <w:r>
        <w:rPr>
          <w:rFonts w:hint="eastAsia"/>
          <w:sz w:val="24"/>
          <w:highlight w:val="none"/>
        </w:rPr>
        <w:t>，提供</w:t>
      </w:r>
      <w:r>
        <w:rPr>
          <w:rFonts w:hint="eastAsia" w:ascii="宋体" w:hAnsi="宋体" w:cs="宋体"/>
          <w:sz w:val="24"/>
          <w:highlight w:val="none"/>
        </w:rPr>
        <w:t>本单位的</w:t>
      </w:r>
      <w:r>
        <w:rPr>
          <w:rFonts w:hint="eastAsia" w:ascii="宋体" w:hAnsi="宋体" w:cs="宋体"/>
          <w:sz w:val="24"/>
          <w:highlight w:val="none"/>
          <w:lang w:eastAsia="zh-CN"/>
        </w:rPr>
        <w:t>服务</w:t>
      </w:r>
      <w:r>
        <w:rPr>
          <w:rFonts w:hint="eastAsia" w:ascii="宋体" w:hAnsi="宋体" w:cs="宋体"/>
          <w:sz w:val="24"/>
          <w:highlight w:val="none"/>
        </w:rPr>
        <w:t>，或者提供其他残疾人福利性单位的</w:t>
      </w:r>
      <w:r>
        <w:rPr>
          <w:rFonts w:hint="eastAsia" w:ascii="宋体" w:hAnsi="宋体" w:cs="宋体"/>
          <w:sz w:val="24"/>
          <w:highlight w:val="none"/>
          <w:lang w:eastAsia="zh-CN"/>
        </w:rPr>
        <w:t>服务</w:t>
      </w:r>
      <w:r>
        <w:rPr>
          <w:rFonts w:hint="eastAsia" w:ascii="宋体" w:hAnsi="宋体" w:cs="宋体"/>
          <w:sz w:val="24"/>
          <w:highlight w:val="none"/>
        </w:rPr>
        <w:t>（不包括使用非残疾人福利性单位注册商标的</w:t>
      </w:r>
      <w:r>
        <w:rPr>
          <w:rFonts w:hint="eastAsia" w:ascii="宋体" w:hAnsi="宋体" w:cs="宋体"/>
          <w:sz w:val="24"/>
          <w:highlight w:val="none"/>
          <w:lang w:eastAsia="zh-CN"/>
        </w:rPr>
        <w:t>服务</w:t>
      </w:r>
      <w:r>
        <w:rPr>
          <w:rFonts w:hint="eastAsia" w:ascii="宋体" w:hAnsi="宋体" w:cs="宋体"/>
          <w:sz w:val="24"/>
          <w:highlight w:val="none"/>
        </w:rPr>
        <w:t>）</w:t>
      </w:r>
      <w:r>
        <w:rPr>
          <w:sz w:val="24"/>
          <w:highlight w:val="none"/>
        </w:rPr>
        <w:t>。</w:t>
      </w:r>
    </w:p>
    <w:p w14:paraId="48F08E9D">
      <w:pPr>
        <w:keepNext w:val="0"/>
        <w:keepLines w:val="0"/>
        <w:pageBreakBefore w:val="0"/>
        <w:widowControl w:val="0"/>
        <w:kinsoku/>
        <w:overflowPunct/>
        <w:topLinePunct/>
        <w:bidi w:val="0"/>
        <w:snapToGrid w:val="0"/>
        <w:spacing w:line="480" w:lineRule="exact"/>
        <w:ind w:firstLine="480" w:firstLineChars="200"/>
        <w:textAlignment w:val="baseline"/>
        <w:rPr>
          <w:sz w:val="24"/>
          <w:highlight w:val="none"/>
        </w:rPr>
      </w:pPr>
      <w:r>
        <w:rPr>
          <w:sz w:val="24"/>
          <w:highlight w:val="none"/>
        </w:rPr>
        <w:t>本单位对上述声明的真实性负责。如有虚假，将依法承担相应责任。</w:t>
      </w:r>
    </w:p>
    <w:p w14:paraId="02D099A8">
      <w:pPr>
        <w:keepNext w:val="0"/>
        <w:keepLines w:val="0"/>
        <w:pageBreakBefore w:val="0"/>
        <w:widowControl w:val="0"/>
        <w:kinsoku/>
        <w:overflowPunct/>
        <w:topLinePunct/>
        <w:bidi w:val="0"/>
        <w:spacing w:line="360" w:lineRule="auto"/>
        <w:ind w:firstLine="504" w:firstLineChars="200"/>
        <w:rPr>
          <w:spacing w:val="6"/>
          <w:sz w:val="24"/>
          <w:highlight w:val="none"/>
        </w:rPr>
      </w:pPr>
    </w:p>
    <w:p w14:paraId="02D9B978">
      <w:pPr>
        <w:keepNext w:val="0"/>
        <w:keepLines w:val="0"/>
        <w:pageBreakBefore w:val="0"/>
        <w:widowControl w:val="0"/>
        <w:kinsoku/>
        <w:overflowPunct/>
        <w:topLinePunct/>
        <w:bidi w:val="0"/>
        <w:spacing w:line="360" w:lineRule="auto"/>
        <w:ind w:firstLine="504" w:firstLineChars="200"/>
        <w:rPr>
          <w:spacing w:val="6"/>
          <w:sz w:val="24"/>
          <w:highlight w:val="none"/>
        </w:rPr>
      </w:pPr>
    </w:p>
    <w:p w14:paraId="58CCA955">
      <w:pPr>
        <w:keepNext w:val="0"/>
        <w:keepLines w:val="0"/>
        <w:pageBreakBefore w:val="0"/>
        <w:widowControl w:val="0"/>
        <w:kinsoku/>
        <w:overflowPunct/>
        <w:topLinePunct/>
        <w:bidi w:val="0"/>
        <w:spacing w:line="360" w:lineRule="auto"/>
        <w:ind w:firstLine="504" w:firstLineChars="200"/>
        <w:rPr>
          <w:spacing w:val="6"/>
          <w:sz w:val="24"/>
          <w:highlight w:val="none"/>
        </w:rPr>
      </w:pPr>
    </w:p>
    <w:p w14:paraId="08DA012E">
      <w:pPr>
        <w:keepNext w:val="0"/>
        <w:keepLines w:val="0"/>
        <w:pageBreakBefore w:val="0"/>
        <w:widowControl w:val="0"/>
        <w:kinsoku/>
        <w:overflowPunct/>
        <w:topLinePunct/>
        <w:bidi w:val="0"/>
        <w:snapToGrid w:val="0"/>
        <w:spacing w:line="360" w:lineRule="auto"/>
        <w:ind w:firstLine="4560" w:firstLineChars="1900"/>
        <w:rPr>
          <w:sz w:val="24"/>
          <w:highlight w:val="none"/>
        </w:rPr>
      </w:pPr>
      <w:r>
        <w:rPr>
          <w:rFonts w:hint="eastAsia"/>
          <w:sz w:val="24"/>
          <w:highlight w:val="none"/>
        </w:rPr>
        <w:t>投标人</w:t>
      </w:r>
      <w:r>
        <w:rPr>
          <w:sz w:val="24"/>
          <w:highlight w:val="none"/>
        </w:rPr>
        <w:t>名称：</w:t>
      </w:r>
      <w:r>
        <w:rPr>
          <w:rFonts w:hint="eastAsia" w:cs="宋体"/>
          <w:sz w:val="24"/>
          <w:highlight w:val="none"/>
          <w:u w:val="single"/>
        </w:rPr>
        <w:t xml:space="preserve">             </w:t>
      </w:r>
      <w:r>
        <w:rPr>
          <w:sz w:val="24"/>
          <w:highlight w:val="none"/>
        </w:rPr>
        <w:t>（盖章）</w:t>
      </w:r>
    </w:p>
    <w:p w14:paraId="7B3117BC">
      <w:pPr>
        <w:keepNext w:val="0"/>
        <w:keepLines w:val="0"/>
        <w:pageBreakBefore w:val="0"/>
        <w:widowControl w:val="0"/>
        <w:kinsoku/>
        <w:overflowPunct/>
        <w:topLinePunct/>
        <w:bidi w:val="0"/>
        <w:snapToGrid w:val="0"/>
        <w:spacing w:line="360" w:lineRule="auto"/>
        <w:ind w:firstLine="4560" w:firstLineChars="1900"/>
        <w:rPr>
          <w:sz w:val="24"/>
          <w:highlight w:val="none"/>
        </w:rPr>
      </w:pPr>
      <w:r>
        <w:rPr>
          <w:sz w:val="24"/>
          <w:highlight w:val="none"/>
        </w:rPr>
        <w:t>日      期：</w:t>
      </w:r>
    </w:p>
    <w:p w14:paraId="702FDA21">
      <w:pPr>
        <w:keepNext w:val="0"/>
        <w:keepLines w:val="0"/>
        <w:pageBreakBefore w:val="0"/>
        <w:widowControl w:val="0"/>
        <w:kinsoku/>
        <w:overflowPunct/>
        <w:topLinePunct/>
        <w:bidi w:val="0"/>
        <w:snapToGrid w:val="0"/>
        <w:spacing w:line="480" w:lineRule="exact"/>
        <w:ind w:firstLine="3614" w:firstLineChars="1500"/>
        <w:textAlignment w:val="baseline"/>
        <w:rPr>
          <w:b/>
          <w:sz w:val="24"/>
          <w:highlight w:val="none"/>
        </w:rPr>
      </w:pPr>
    </w:p>
    <w:p w14:paraId="3200EE87">
      <w:pPr>
        <w:keepNext w:val="0"/>
        <w:keepLines w:val="0"/>
        <w:pageBreakBefore w:val="0"/>
        <w:widowControl w:val="0"/>
        <w:kinsoku/>
        <w:overflowPunct/>
        <w:topLinePunct/>
        <w:bidi w:val="0"/>
        <w:snapToGrid w:val="0"/>
        <w:spacing w:line="480" w:lineRule="exact"/>
        <w:ind w:firstLine="482" w:firstLineChars="200"/>
        <w:textAlignment w:val="baseline"/>
        <w:rPr>
          <w:b/>
          <w:sz w:val="24"/>
          <w:highlight w:val="none"/>
        </w:rPr>
      </w:pPr>
      <w:r>
        <w:rPr>
          <w:b/>
          <w:sz w:val="24"/>
          <w:highlight w:val="none"/>
        </w:rPr>
        <w:t>附：由省级以上监狱管理局、戒毒管理局（含新疆生产建设兵团）出具的属于监狱企业的证明文件。</w:t>
      </w:r>
    </w:p>
    <w:p w14:paraId="0DFD6D69">
      <w:pPr>
        <w:keepNext w:val="0"/>
        <w:keepLines w:val="0"/>
        <w:pageBreakBefore w:val="0"/>
        <w:widowControl w:val="0"/>
        <w:kinsoku/>
        <w:overflowPunct/>
        <w:topLinePunct/>
        <w:bidi w:val="0"/>
        <w:snapToGrid w:val="0"/>
        <w:spacing w:line="360" w:lineRule="auto"/>
        <w:ind w:firstLine="480"/>
        <w:rPr>
          <w:sz w:val="24"/>
          <w:highlight w:val="none"/>
        </w:rPr>
      </w:pPr>
    </w:p>
    <w:p w14:paraId="13A0B96A">
      <w:pPr>
        <w:pStyle w:val="13"/>
        <w:keepNext w:val="0"/>
        <w:keepLines w:val="0"/>
        <w:pageBreakBefore w:val="0"/>
        <w:widowControl w:val="0"/>
        <w:kinsoku/>
        <w:overflowPunct/>
        <w:topLinePunct/>
        <w:bidi w:val="0"/>
        <w:ind w:firstLine="482"/>
        <w:rPr>
          <w:rFonts w:ascii="Times New Roman" w:hAnsi="Times New Roman"/>
          <w:b/>
          <w:bCs/>
          <w:sz w:val="24"/>
          <w:highlight w:val="none"/>
        </w:rPr>
      </w:pPr>
    </w:p>
    <w:p w14:paraId="455A53AD">
      <w:pPr>
        <w:pStyle w:val="13"/>
        <w:keepNext w:val="0"/>
        <w:keepLines w:val="0"/>
        <w:pageBreakBefore w:val="0"/>
        <w:widowControl w:val="0"/>
        <w:kinsoku/>
        <w:overflowPunct/>
        <w:topLinePunct/>
        <w:bidi w:val="0"/>
        <w:ind w:firstLine="482"/>
        <w:rPr>
          <w:rFonts w:ascii="Times New Roman" w:hAnsi="Times New Roman"/>
          <w:b/>
          <w:bCs/>
          <w:sz w:val="24"/>
          <w:highlight w:val="none"/>
        </w:rPr>
      </w:pPr>
      <w:r>
        <w:rPr>
          <w:rFonts w:hint="eastAsia" w:ascii="Times New Roman" w:hAnsi="Times New Roman"/>
          <w:b/>
          <w:bCs/>
          <w:sz w:val="24"/>
          <w:highlight w:val="none"/>
        </w:rPr>
        <w:t>注：</w:t>
      </w:r>
    </w:p>
    <w:p w14:paraId="4907C849">
      <w:pPr>
        <w:pStyle w:val="13"/>
        <w:keepNext w:val="0"/>
        <w:keepLines w:val="0"/>
        <w:pageBreakBefore w:val="0"/>
        <w:widowControl w:val="0"/>
        <w:kinsoku/>
        <w:overflowPunct/>
        <w:topLinePunct/>
        <w:bidi w:val="0"/>
        <w:spacing w:line="360" w:lineRule="auto"/>
        <w:ind w:firstLine="482" w:firstLineChars="200"/>
        <w:rPr>
          <w:rFonts w:ascii="Times New Roman" w:hAnsi="Times New Roman"/>
          <w:b/>
          <w:bCs/>
          <w:sz w:val="24"/>
          <w:highlight w:val="none"/>
        </w:rPr>
      </w:pPr>
      <w:r>
        <w:rPr>
          <w:rFonts w:hint="eastAsia" w:ascii="Times New Roman" w:hAnsi="Times New Roman"/>
          <w:b/>
          <w:bCs/>
          <w:sz w:val="24"/>
          <w:highlight w:val="none"/>
        </w:rPr>
        <w:t>1.专门面向中小企业的采购项目，监狱企业参加本项目此项内容作为资格条件，应在投标人资格证明文件部分上传。</w:t>
      </w:r>
    </w:p>
    <w:p w14:paraId="4ED83CE0">
      <w:pPr>
        <w:pStyle w:val="13"/>
        <w:keepNext w:val="0"/>
        <w:keepLines w:val="0"/>
        <w:pageBreakBefore w:val="0"/>
        <w:widowControl w:val="0"/>
        <w:kinsoku/>
        <w:overflowPunct/>
        <w:topLinePunct/>
        <w:bidi w:val="0"/>
        <w:spacing w:line="360" w:lineRule="auto"/>
        <w:ind w:firstLine="482" w:firstLineChars="200"/>
        <w:rPr>
          <w:rFonts w:ascii="Times New Roman" w:hAnsi="Times New Roman"/>
          <w:b/>
          <w:bCs/>
          <w:sz w:val="24"/>
          <w:highlight w:val="none"/>
        </w:rPr>
      </w:pPr>
      <w:r>
        <w:rPr>
          <w:rFonts w:hint="eastAsia" w:ascii="Times New Roman" w:hAnsi="Times New Roman"/>
          <w:b/>
          <w:bCs/>
          <w:sz w:val="24"/>
          <w:highlight w:val="none"/>
        </w:rPr>
        <w:t>2.非专门面向中小企业的采购项目，如未提供，不予认可。</w:t>
      </w:r>
    </w:p>
    <w:p w14:paraId="644B659D">
      <w:pPr>
        <w:keepNext w:val="0"/>
        <w:keepLines w:val="0"/>
        <w:pageBreakBefore w:val="0"/>
        <w:widowControl w:val="0"/>
        <w:tabs>
          <w:tab w:val="left" w:pos="2070"/>
          <w:tab w:val="center" w:pos="4365"/>
        </w:tabs>
        <w:kinsoku/>
        <w:overflowPunct/>
        <w:bidi w:val="0"/>
        <w:adjustRightInd w:val="0"/>
        <w:snapToGrid w:val="0"/>
        <w:spacing w:line="360" w:lineRule="auto"/>
        <w:ind w:firstLine="420"/>
        <w:jc w:val="center"/>
        <w:outlineLvl w:val="0"/>
        <w:rPr>
          <w:rFonts w:ascii="宋体" w:hAnsi="宋体" w:cs="宋体"/>
          <w:b/>
          <w:kern w:val="0"/>
          <w:sz w:val="24"/>
          <w:szCs w:val="21"/>
          <w:highlight w:val="none"/>
        </w:rPr>
      </w:pPr>
    </w:p>
    <w:p w14:paraId="311770FB">
      <w:pPr>
        <w:keepNext w:val="0"/>
        <w:keepLines w:val="0"/>
        <w:pageBreakBefore w:val="0"/>
        <w:widowControl w:val="0"/>
        <w:tabs>
          <w:tab w:val="left" w:pos="2070"/>
          <w:tab w:val="center" w:pos="4365"/>
        </w:tabs>
        <w:kinsoku/>
        <w:overflowPunct/>
        <w:bidi w:val="0"/>
        <w:adjustRightInd w:val="0"/>
        <w:snapToGrid w:val="0"/>
        <w:spacing w:line="360" w:lineRule="auto"/>
        <w:ind w:firstLine="420"/>
        <w:jc w:val="center"/>
        <w:outlineLvl w:val="0"/>
        <w:rPr>
          <w:rFonts w:ascii="宋体" w:hAnsi="宋体" w:cs="宋体"/>
          <w:b/>
          <w:kern w:val="0"/>
          <w:sz w:val="24"/>
          <w:szCs w:val="21"/>
          <w:highlight w:val="none"/>
        </w:rPr>
      </w:pPr>
    </w:p>
    <w:p w14:paraId="023689CF">
      <w:pPr>
        <w:keepNext w:val="0"/>
        <w:keepLines w:val="0"/>
        <w:pageBreakBefore w:val="0"/>
        <w:widowControl w:val="0"/>
        <w:tabs>
          <w:tab w:val="left" w:pos="2070"/>
          <w:tab w:val="center" w:pos="4365"/>
        </w:tabs>
        <w:kinsoku/>
        <w:overflowPunct/>
        <w:bidi w:val="0"/>
        <w:adjustRightInd w:val="0"/>
        <w:snapToGrid w:val="0"/>
        <w:spacing w:line="360" w:lineRule="auto"/>
        <w:ind w:firstLine="420"/>
        <w:jc w:val="center"/>
        <w:outlineLvl w:val="0"/>
        <w:rPr>
          <w:rFonts w:ascii="宋体" w:hAnsi="宋体" w:cs="宋体"/>
          <w:b/>
          <w:kern w:val="0"/>
          <w:sz w:val="24"/>
          <w:szCs w:val="21"/>
          <w:highlight w:val="none"/>
        </w:rPr>
      </w:pPr>
    </w:p>
    <w:p w14:paraId="6C41AD3B">
      <w:pPr>
        <w:keepNext w:val="0"/>
        <w:keepLines w:val="0"/>
        <w:pageBreakBefore w:val="0"/>
        <w:widowControl w:val="0"/>
        <w:tabs>
          <w:tab w:val="left" w:pos="2070"/>
          <w:tab w:val="center" w:pos="4365"/>
        </w:tabs>
        <w:kinsoku/>
        <w:overflowPunct/>
        <w:bidi w:val="0"/>
        <w:adjustRightInd w:val="0"/>
        <w:snapToGrid w:val="0"/>
        <w:spacing w:line="360" w:lineRule="auto"/>
        <w:ind w:firstLine="420"/>
        <w:jc w:val="center"/>
        <w:outlineLvl w:val="0"/>
        <w:rPr>
          <w:rFonts w:ascii="宋体" w:hAnsi="宋体" w:cs="宋体"/>
          <w:b/>
          <w:kern w:val="0"/>
          <w:sz w:val="24"/>
          <w:szCs w:val="21"/>
          <w:highlight w:val="none"/>
        </w:rPr>
      </w:pPr>
    </w:p>
    <w:p w14:paraId="06969A32">
      <w:pPr>
        <w:keepNext w:val="0"/>
        <w:keepLines w:val="0"/>
        <w:pageBreakBefore w:val="0"/>
        <w:widowControl w:val="0"/>
        <w:tabs>
          <w:tab w:val="left" w:pos="2070"/>
          <w:tab w:val="center" w:pos="4365"/>
        </w:tabs>
        <w:kinsoku/>
        <w:overflowPunct/>
        <w:bidi w:val="0"/>
        <w:adjustRightInd w:val="0"/>
        <w:snapToGrid w:val="0"/>
        <w:spacing w:line="360" w:lineRule="auto"/>
        <w:ind w:firstLine="420"/>
        <w:jc w:val="center"/>
        <w:outlineLvl w:val="0"/>
        <w:rPr>
          <w:rFonts w:ascii="宋体" w:hAnsi="宋体" w:cs="宋体"/>
          <w:b/>
          <w:kern w:val="0"/>
          <w:sz w:val="24"/>
          <w:szCs w:val="21"/>
          <w:highlight w:val="none"/>
        </w:rPr>
      </w:pPr>
    </w:p>
    <w:p w14:paraId="5442277E">
      <w:pPr>
        <w:keepNext w:val="0"/>
        <w:keepLines w:val="0"/>
        <w:pageBreakBefore w:val="0"/>
        <w:widowControl w:val="0"/>
        <w:tabs>
          <w:tab w:val="left" w:pos="2070"/>
          <w:tab w:val="center" w:pos="4365"/>
        </w:tabs>
        <w:kinsoku/>
        <w:overflowPunct/>
        <w:bidi w:val="0"/>
        <w:adjustRightInd w:val="0"/>
        <w:snapToGrid w:val="0"/>
        <w:spacing w:line="360" w:lineRule="auto"/>
        <w:ind w:firstLine="420"/>
        <w:jc w:val="center"/>
        <w:outlineLvl w:val="0"/>
        <w:rPr>
          <w:rFonts w:ascii="宋体" w:hAnsi="宋体" w:cs="宋体"/>
          <w:b/>
          <w:kern w:val="0"/>
          <w:sz w:val="24"/>
          <w:szCs w:val="21"/>
          <w:highlight w:val="none"/>
        </w:rPr>
      </w:pPr>
    </w:p>
    <w:p w14:paraId="59DB3553">
      <w:pPr>
        <w:keepNext w:val="0"/>
        <w:keepLines w:val="0"/>
        <w:pageBreakBefore w:val="0"/>
        <w:widowControl w:val="0"/>
        <w:tabs>
          <w:tab w:val="left" w:pos="2070"/>
          <w:tab w:val="center" w:pos="4365"/>
        </w:tabs>
        <w:kinsoku/>
        <w:overflowPunct/>
        <w:bidi w:val="0"/>
        <w:adjustRightInd w:val="0"/>
        <w:snapToGrid w:val="0"/>
        <w:spacing w:line="360" w:lineRule="auto"/>
        <w:ind w:firstLine="420"/>
        <w:jc w:val="center"/>
        <w:outlineLvl w:val="0"/>
        <w:rPr>
          <w:rFonts w:ascii="宋体" w:hAnsi="宋体" w:cs="宋体"/>
          <w:b/>
          <w:kern w:val="0"/>
          <w:sz w:val="24"/>
          <w:szCs w:val="21"/>
          <w:highlight w:val="none"/>
        </w:rPr>
      </w:pPr>
    </w:p>
    <w:p w14:paraId="0F5E2E66">
      <w:pPr>
        <w:keepNext w:val="0"/>
        <w:keepLines w:val="0"/>
        <w:pageBreakBefore w:val="0"/>
        <w:widowControl w:val="0"/>
        <w:tabs>
          <w:tab w:val="left" w:pos="2070"/>
          <w:tab w:val="center" w:pos="4365"/>
        </w:tabs>
        <w:kinsoku/>
        <w:overflowPunct/>
        <w:bidi w:val="0"/>
        <w:adjustRightInd w:val="0"/>
        <w:snapToGrid w:val="0"/>
        <w:spacing w:line="360" w:lineRule="auto"/>
        <w:ind w:firstLine="420"/>
        <w:jc w:val="center"/>
        <w:outlineLvl w:val="0"/>
        <w:rPr>
          <w:rFonts w:ascii="宋体" w:hAnsi="宋体" w:cs="宋体"/>
          <w:b/>
          <w:kern w:val="0"/>
          <w:sz w:val="24"/>
          <w:szCs w:val="21"/>
          <w:highlight w:val="none"/>
        </w:rPr>
      </w:pPr>
    </w:p>
    <w:p w14:paraId="541EB076">
      <w:pPr>
        <w:keepNext w:val="0"/>
        <w:keepLines w:val="0"/>
        <w:pageBreakBefore w:val="0"/>
        <w:widowControl w:val="0"/>
        <w:kinsoku/>
        <w:overflowPunct/>
        <w:bidi w:val="0"/>
        <w:snapToGrid w:val="0"/>
        <w:spacing w:line="360" w:lineRule="auto"/>
        <w:rPr>
          <w:rFonts w:hint="eastAsia" w:ascii="宋体" w:hAnsi="宋体" w:eastAsia="宋体" w:cs="宋体"/>
          <w:b/>
          <w:color w:val="auto"/>
          <w:kern w:val="0"/>
          <w:sz w:val="24"/>
          <w:szCs w:val="24"/>
          <w:highlight w:val="none"/>
          <w:lang w:val="en-US" w:eastAsia="zh-CN"/>
        </w:rPr>
      </w:pPr>
      <w:r>
        <w:rPr>
          <w:rFonts w:hint="eastAsia" w:ascii="宋体" w:hAnsi="宋体" w:cs="宋体"/>
          <w:b/>
          <w:kern w:val="0"/>
          <w:sz w:val="24"/>
          <w:szCs w:val="21"/>
          <w:highlight w:val="none"/>
          <w:lang w:eastAsia="zh-CN"/>
        </w:rPr>
        <w:t>（</w:t>
      </w:r>
      <w:r>
        <w:rPr>
          <w:rFonts w:hint="eastAsia" w:ascii="宋体" w:hAnsi="宋体" w:cs="宋体"/>
          <w:b/>
          <w:kern w:val="0"/>
          <w:sz w:val="24"/>
          <w:szCs w:val="21"/>
          <w:highlight w:val="none"/>
          <w:lang w:val="en-US" w:eastAsia="zh-CN"/>
        </w:rPr>
        <w:t>九</w:t>
      </w:r>
      <w:r>
        <w:rPr>
          <w:rFonts w:hint="eastAsia" w:ascii="宋体" w:hAnsi="宋体" w:cs="宋体"/>
          <w:b/>
          <w:kern w:val="0"/>
          <w:sz w:val="24"/>
          <w:szCs w:val="21"/>
          <w:highlight w:val="none"/>
          <w:lang w:eastAsia="zh-CN"/>
        </w:rPr>
        <w:t>）</w:t>
      </w:r>
      <w:r>
        <w:rPr>
          <w:rFonts w:hint="eastAsia" w:ascii="宋体" w:hAnsi="宋体" w:cs="宋体"/>
          <w:b/>
          <w:color w:val="auto"/>
          <w:kern w:val="0"/>
          <w:sz w:val="24"/>
          <w:highlight w:val="none"/>
          <w:lang w:val="en-US" w:eastAsia="zh-CN"/>
        </w:rPr>
        <w:t>联合投标协议</w:t>
      </w:r>
      <w:r>
        <w:rPr>
          <w:rFonts w:hint="eastAsia" w:ascii="宋体" w:hAnsi="宋体" w:eastAsia="宋体" w:cs="宋体"/>
          <w:b/>
          <w:color w:val="auto"/>
          <w:kern w:val="0"/>
          <w:sz w:val="24"/>
          <w:highlight w:val="none"/>
        </w:rPr>
        <w:t>（如</w:t>
      </w:r>
      <w:r>
        <w:rPr>
          <w:rFonts w:hint="eastAsia" w:ascii="宋体" w:hAnsi="宋体" w:eastAsia="宋体" w:cs="宋体"/>
          <w:b/>
          <w:color w:val="auto"/>
          <w:kern w:val="0"/>
          <w:sz w:val="24"/>
          <w:highlight w:val="none"/>
          <w:lang w:val="en-US" w:eastAsia="zh-CN"/>
        </w:rPr>
        <w:t>不涉及，可不提供</w:t>
      </w:r>
      <w:r>
        <w:rPr>
          <w:rFonts w:hint="eastAsia" w:ascii="宋体" w:hAnsi="宋体" w:eastAsia="宋体" w:cs="宋体"/>
          <w:b/>
          <w:color w:val="auto"/>
          <w:kern w:val="0"/>
          <w:sz w:val="24"/>
          <w:highlight w:val="none"/>
        </w:rPr>
        <w:t>）</w:t>
      </w:r>
    </w:p>
    <w:p w14:paraId="21A8CC62">
      <w:pPr>
        <w:keepNext w:val="0"/>
        <w:keepLines w:val="0"/>
        <w:pageBreakBefore w:val="0"/>
        <w:widowControl w:val="0"/>
        <w:kinsoku/>
        <w:overflowPunct/>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（1）资质等级证明文件</w:t>
      </w:r>
    </w:p>
    <w:p w14:paraId="69729701">
      <w:pPr>
        <w:keepNext w:val="0"/>
        <w:keepLines w:val="0"/>
        <w:pageBreakBefore w:val="0"/>
        <w:widowControl w:val="0"/>
        <w:kinsoku/>
        <w:overflowPunct/>
        <w:bidi w:val="0"/>
        <w:snapToGrid w:val="0"/>
        <w:spacing w:line="360" w:lineRule="auto"/>
        <w:rPr>
          <w:rFonts w:hint="eastAsia" w:ascii="宋体" w:hAnsi="宋体" w:eastAsia="宋体" w:cs="宋体"/>
          <w:color w:val="auto"/>
          <w:kern w:val="0"/>
          <w:sz w:val="24"/>
          <w:highlight w:val="none"/>
        </w:rPr>
      </w:pPr>
    </w:p>
    <w:p w14:paraId="43AF4085">
      <w:pPr>
        <w:keepNext w:val="0"/>
        <w:keepLines w:val="0"/>
        <w:pageBreakBefore w:val="0"/>
        <w:widowControl w:val="0"/>
        <w:kinsoku/>
        <w:overflowPunct/>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w:t>
      </w:r>
      <w:r>
        <w:rPr>
          <w:rFonts w:hint="eastAsia" w:ascii="宋体" w:hAnsi="宋体" w:cs="宋体"/>
          <w:color w:val="auto"/>
          <w:kern w:val="0"/>
          <w:sz w:val="24"/>
          <w:highlight w:val="none"/>
          <w:lang w:eastAsia="zh-CN"/>
        </w:rPr>
        <w:t>投标</w:t>
      </w:r>
      <w:r>
        <w:rPr>
          <w:rFonts w:hint="eastAsia" w:ascii="宋体" w:hAnsi="宋体" w:eastAsia="宋体" w:cs="宋体"/>
          <w:color w:val="auto"/>
          <w:kern w:val="0"/>
          <w:sz w:val="24"/>
          <w:highlight w:val="none"/>
        </w:rPr>
        <w:t>协议格式</w:t>
      </w:r>
    </w:p>
    <w:p w14:paraId="7FCBCC98">
      <w:pPr>
        <w:keepNext w:val="0"/>
        <w:keepLines w:val="0"/>
        <w:pageBreakBefore w:val="0"/>
        <w:widowControl w:val="0"/>
        <w:kinsoku/>
        <w:overflowPunct/>
        <w:bidi w:val="0"/>
        <w:spacing w:line="300" w:lineRule="exact"/>
        <w:jc w:val="center"/>
        <w:rPr>
          <w:rFonts w:hint="eastAsia" w:ascii="宋体" w:hAnsi="宋体" w:eastAsia="宋体" w:cs="宋体"/>
          <w:b/>
          <w:color w:val="auto"/>
          <w:sz w:val="28"/>
          <w:szCs w:val="28"/>
          <w:highlight w:val="none"/>
        </w:rPr>
      </w:pPr>
      <w:r>
        <w:rPr>
          <w:rFonts w:hint="eastAsia" w:ascii="宋体" w:hAnsi="宋体" w:eastAsia="宋体" w:cs="宋体"/>
          <w:bCs/>
          <w:color w:val="auto"/>
          <w:sz w:val="24"/>
          <w:highlight w:val="none"/>
        </w:rPr>
        <w:t xml:space="preserve"> </w:t>
      </w:r>
      <w:r>
        <w:rPr>
          <w:rFonts w:hint="eastAsia" w:ascii="宋体" w:hAnsi="宋体" w:eastAsia="宋体" w:cs="宋体"/>
          <w:b/>
          <w:color w:val="auto"/>
          <w:sz w:val="28"/>
          <w:szCs w:val="28"/>
          <w:highlight w:val="none"/>
        </w:rPr>
        <w:t>《联合</w:t>
      </w:r>
      <w:r>
        <w:rPr>
          <w:rFonts w:hint="eastAsia" w:ascii="宋体" w:hAnsi="宋体" w:cs="宋体"/>
          <w:b/>
          <w:color w:val="auto"/>
          <w:sz w:val="28"/>
          <w:szCs w:val="28"/>
          <w:highlight w:val="none"/>
          <w:lang w:eastAsia="zh-CN"/>
        </w:rPr>
        <w:t>投标</w:t>
      </w:r>
      <w:r>
        <w:rPr>
          <w:rFonts w:hint="eastAsia" w:ascii="宋体" w:hAnsi="宋体" w:eastAsia="宋体" w:cs="宋体"/>
          <w:b/>
          <w:color w:val="auto"/>
          <w:sz w:val="28"/>
          <w:szCs w:val="28"/>
          <w:highlight w:val="none"/>
        </w:rPr>
        <w:t>协议书》格式</w:t>
      </w:r>
    </w:p>
    <w:p w14:paraId="58BC65CF">
      <w:pPr>
        <w:keepNext w:val="0"/>
        <w:keepLines w:val="0"/>
        <w:pageBreakBefore w:val="0"/>
        <w:widowControl w:val="0"/>
        <w:kinsoku/>
        <w:overflowPunct/>
        <w:bidi w:val="0"/>
        <w:spacing w:line="300" w:lineRule="exact"/>
        <w:jc w:val="center"/>
        <w:rPr>
          <w:rFonts w:hint="eastAsia" w:ascii="宋体" w:hAnsi="宋体" w:eastAsia="宋体" w:cs="宋体"/>
          <w:b/>
          <w:color w:val="auto"/>
          <w:sz w:val="24"/>
          <w:highlight w:val="none"/>
        </w:rPr>
      </w:pPr>
    </w:p>
    <w:p w14:paraId="7C01ED1A">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联合各方：</w:t>
      </w:r>
    </w:p>
    <w:p w14:paraId="6BD90F79">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5CF9E98D">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75EFDCDE">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p w14:paraId="15916343">
      <w:pPr>
        <w:keepNext w:val="0"/>
        <w:keepLines w:val="0"/>
        <w:pageBreakBefore w:val="0"/>
        <w:widowControl w:val="0"/>
        <w:kinsoku/>
        <w:overflowPunct/>
        <w:bidi w:val="0"/>
        <w:spacing w:line="360" w:lineRule="auto"/>
        <w:ind w:firstLine="480" w:firstLineChars="200"/>
        <w:jc w:val="left"/>
        <w:rPr>
          <w:rFonts w:hint="eastAsia" w:ascii="宋体" w:hAnsi="宋体" w:eastAsia="宋体" w:cs="宋体"/>
          <w:color w:val="auto"/>
          <w:sz w:val="24"/>
          <w:highlight w:val="none"/>
        </w:rPr>
      </w:pPr>
    </w:p>
    <w:p w14:paraId="36D6CF83">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35D0EF65">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EC0E7BF">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p w14:paraId="0A75BFB2">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（如果有的话，可按甲、乙、丙、丁…序列增加）</w:t>
      </w:r>
    </w:p>
    <w:p w14:paraId="6E991D40">
      <w:pPr>
        <w:keepNext w:val="0"/>
        <w:keepLines w:val="0"/>
        <w:pageBreakBefore w:val="0"/>
        <w:widowControl w:val="0"/>
        <w:kinsoku/>
        <w:overflowPunct/>
        <w:bidi w:val="0"/>
        <w:spacing w:line="360" w:lineRule="auto"/>
        <w:ind w:firstLine="480" w:firstLineChars="200"/>
        <w:rPr>
          <w:rFonts w:hint="eastAsia" w:ascii="宋体" w:hAnsi="宋体" w:eastAsia="宋体" w:cs="宋体"/>
          <w:color w:val="auto"/>
          <w:sz w:val="24"/>
          <w:highlight w:val="none"/>
        </w:rPr>
      </w:pPr>
    </w:p>
    <w:p w14:paraId="127058C1">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根据《政府采购法》第二十四条之规定，为响应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组织实施的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项目（项目名称、招标编号）的招标活动，各方经协商，就联合参加本项目</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事宜，达成如下协议：</w:t>
      </w:r>
    </w:p>
    <w:p w14:paraId="60F12C5D">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一、各方一致决定，以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为主办人进行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，并按照</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文件的规定分别提交资格文件。</w:t>
      </w:r>
    </w:p>
    <w:p w14:paraId="3F9C94B4">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二、在本次</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过程中，主办人法定代表人或授权代理人根据</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文件规定及报价内容而对招标方和采购人所作的任何合法承诺，包括书面澄清及响应等均对联合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各方产生约束力。如果</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并签订合同，则联合各方将共同履行对招标方和采购人所负有的全部义务并就采购合同约定的事项对采购人承担连带责任。</w:t>
      </w:r>
    </w:p>
    <w:p w14:paraId="6832D2C7">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三、联合其余各方保证对主办人为响应本次</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而提供的货物和相关服务提供全部质量保证及售后服务支持。</w:t>
      </w:r>
    </w:p>
    <w:p w14:paraId="0C566AF0">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四、本次联合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中，甲方承担的工作和义务为:</w:t>
      </w:r>
    </w:p>
    <w:p w14:paraId="74E7EA65">
      <w:pPr>
        <w:pStyle w:val="34"/>
        <w:keepNext w:val="0"/>
        <w:keepLines w:val="0"/>
        <w:pageBreakBefore w:val="0"/>
        <w:widowControl w:val="0"/>
        <w:kinsoku/>
        <w:overflowPunct/>
        <w:bidi w:val="0"/>
        <w:snapToGrid w:val="0"/>
        <w:spacing w:line="360" w:lineRule="auto"/>
        <w:ind w:firstLine="480" w:firstLineChars="200"/>
        <w:rPr>
          <w:rFonts w:hint="eastAsia" w:ascii="宋体" w:hAnsi="宋体" w:eastAsia="宋体" w:cs="宋体"/>
          <w:color w:val="auto"/>
          <w:sz w:val="24"/>
          <w:szCs w:val="24"/>
          <w:highlight w:val="none"/>
        </w:rPr>
      </w:pPr>
    </w:p>
    <w:p w14:paraId="2C3350BC">
      <w:pPr>
        <w:pStyle w:val="34"/>
        <w:keepNext w:val="0"/>
        <w:keepLines w:val="0"/>
        <w:pageBreakBefore w:val="0"/>
        <w:widowControl w:val="0"/>
        <w:kinsoku/>
        <w:overflowPunct/>
        <w:bidi w:val="0"/>
        <w:snapToGrid w:val="0"/>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乙方承担的工作和义务为：</w:t>
      </w:r>
    </w:p>
    <w:p w14:paraId="7E3F55F7">
      <w:pPr>
        <w:pStyle w:val="34"/>
        <w:keepNext w:val="0"/>
        <w:keepLines w:val="0"/>
        <w:pageBreakBefore w:val="0"/>
        <w:widowControl w:val="0"/>
        <w:kinsoku/>
        <w:overflowPunct/>
        <w:bidi w:val="0"/>
        <w:snapToGrid w:val="0"/>
        <w:spacing w:line="360" w:lineRule="auto"/>
        <w:ind w:firstLine="480" w:firstLineChars="200"/>
        <w:rPr>
          <w:rFonts w:hint="eastAsia" w:ascii="宋体" w:hAnsi="宋体" w:eastAsia="宋体" w:cs="宋体"/>
          <w:color w:val="auto"/>
          <w:sz w:val="24"/>
          <w:szCs w:val="24"/>
          <w:highlight w:val="none"/>
        </w:rPr>
      </w:pPr>
    </w:p>
    <w:p w14:paraId="6153F933">
      <w:pPr>
        <w:pStyle w:val="34"/>
        <w:keepNext w:val="0"/>
        <w:keepLines w:val="0"/>
        <w:pageBreakBefore w:val="0"/>
        <w:widowControl w:val="0"/>
        <w:kinsoku/>
        <w:overflowPunct/>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五、本协议提交招标方后，联合体各方不得以任何形式对上述实质内容进行修改或撤销。</w:t>
      </w:r>
    </w:p>
    <w:p w14:paraId="6F305F31">
      <w:pPr>
        <w:pStyle w:val="34"/>
        <w:keepNext w:val="0"/>
        <w:keepLines w:val="0"/>
        <w:pageBreakBefore w:val="0"/>
        <w:widowControl w:val="0"/>
        <w:kinsoku/>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六、本协议一式三份，甲、乙双方各持一份，另一份作为</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文件的组成部分。</w:t>
      </w:r>
    </w:p>
    <w:p w14:paraId="41CA868D">
      <w:pPr>
        <w:keepNext w:val="0"/>
        <w:keepLines w:val="0"/>
        <w:pageBreakBefore w:val="0"/>
        <w:widowControl w:val="0"/>
        <w:kinsoku/>
        <w:overflowPunct/>
        <w:bidi w:val="0"/>
        <w:spacing w:line="360" w:lineRule="auto"/>
        <w:rPr>
          <w:rFonts w:hint="eastAsia" w:ascii="宋体" w:hAnsi="宋体" w:eastAsia="宋体" w:cs="宋体"/>
          <w:color w:val="auto"/>
          <w:sz w:val="24"/>
          <w:highlight w:val="none"/>
        </w:rPr>
      </w:pPr>
    </w:p>
    <w:p w14:paraId="284358EC">
      <w:pPr>
        <w:keepNext w:val="0"/>
        <w:keepLines w:val="0"/>
        <w:pageBreakBefore w:val="0"/>
        <w:widowControl w:val="0"/>
        <w:kinsoku/>
        <w:overflowPunct/>
        <w:bidi w:val="0"/>
        <w:spacing w:line="360" w:lineRule="auto"/>
        <w:rPr>
          <w:rFonts w:hint="eastAsia" w:ascii="宋体" w:hAnsi="宋体" w:eastAsia="宋体" w:cs="宋体"/>
          <w:color w:val="auto"/>
          <w:sz w:val="24"/>
          <w:highlight w:val="none"/>
        </w:rPr>
      </w:pPr>
    </w:p>
    <w:p w14:paraId="42F81EE7">
      <w:pPr>
        <w:keepNext w:val="0"/>
        <w:keepLines w:val="0"/>
        <w:pageBreakBefore w:val="0"/>
        <w:widowControl w:val="0"/>
        <w:kinsoku/>
        <w:overflowPunct/>
        <w:bidi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                               乙方（盖章）：</w:t>
      </w:r>
    </w:p>
    <w:p w14:paraId="400E85EA">
      <w:pPr>
        <w:keepNext w:val="0"/>
        <w:keepLines w:val="0"/>
        <w:pageBreakBefore w:val="0"/>
        <w:widowControl w:val="0"/>
        <w:kinsoku/>
        <w:overflowPunct/>
        <w:bidi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                         法定代表人（签字）：</w:t>
      </w:r>
    </w:p>
    <w:p w14:paraId="71D9907D">
      <w:pPr>
        <w:pStyle w:val="13"/>
        <w:keepNext w:val="0"/>
        <w:keepLines w:val="0"/>
        <w:pageBreakBefore w:val="0"/>
        <w:widowControl w:val="0"/>
        <w:kinsoku/>
        <w:overflowPunct/>
        <w:bidi w:val="0"/>
        <w:rPr>
          <w:rFonts w:hint="eastAsia" w:ascii="宋体" w:hAnsi="宋体" w:eastAsia="宋体" w:cs="宋体"/>
          <w:b/>
          <w:color w:val="auto"/>
          <w:sz w:val="24"/>
          <w:highlight w:val="none"/>
        </w:rPr>
      </w:pPr>
      <w:r>
        <w:rPr>
          <w:rFonts w:hint="eastAsia" w:ascii="宋体" w:hAnsi="宋体" w:eastAsia="宋体" w:cs="宋体"/>
          <w:color w:val="auto"/>
          <w:sz w:val="24"/>
          <w:highlight w:val="none"/>
        </w:rPr>
        <w:t>20  年  月  日                               20  年  月  日</w:t>
      </w:r>
    </w:p>
    <w:p w14:paraId="21E5235C">
      <w:pPr>
        <w:keepNext w:val="0"/>
        <w:keepLines w:val="0"/>
        <w:pageBreakBefore w:val="0"/>
        <w:widowControl w:val="0"/>
        <w:kinsoku/>
        <w:overflowPunct/>
        <w:topLinePunct/>
        <w:bidi w:val="0"/>
        <w:adjustRightInd w:val="0"/>
        <w:snapToGrid w:val="0"/>
        <w:spacing w:line="360" w:lineRule="auto"/>
        <w:ind w:firstLine="3120" w:firstLineChars="1300"/>
        <w:rPr>
          <w:rFonts w:ascii="宋体" w:hAnsi="宋体"/>
          <w:sz w:val="24"/>
          <w:highlight w:val="none"/>
        </w:rPr>
      </w:pPr>
    </w:p>
    <w:p w14:paraId="33F10556">
      <w:pPr>
        <w:keepNext w:val="0"/>
        <w:keepLines w:val="0"/>
        <w:pageBreakBefore w:val="0"/>
        <w:widowControl w:val="0"/>
        <w:tabs>
          <w:tab w:val="left" w:pos="2070"/>
          <w:tab w:val="center" w:pos="4365"/>
        </w:tabs>
        <w:kinsoku/>
        <w:overflowPunct/>
        <w:bidi w:val="0"/>
        <w:adjustRightInd w:val="0"/>
        <w:snapToGrid w:val="0"/>
        <w:spacing w:line="360" w:lineRule="auto"/>
        <w:ind w:firstLine="420"/>
        <w:jc w:val="center"/>
        <w:outlineLvl w:val="0"/>
        <w:rPr>
          <w:rFonts w:ascii="Times New Roman" w:hAnsi="Times New Roman"/>
          <w:b/>
          <w:color w:val="000000" w:themeColor="text1"/>
          <w:kern w:val="0"/>
          <w:sz w:val="32"/>
          <w:szCs w:val="32"/>
          <w:highlight w:val="none"/>
          <w14:textFill>
            <w14:solidFill>
              <w14:schemeClr w14:val="tx1"/>
            </w14:solidFill>
          </w14:textFill>
        </w:rPr>
      </w:pPr>
      <w:r>
        <w:rPr>
          <w:kern w:val="0"/>
          <w:sz w:val="24"/>
          <w:szCs w:val="21"/>
          <w:highlight w:val="none"/>
        </w:rPr>
        <w:br w:type="page"/>
      </w:r>
      <w:bookmarkStart w:id="91" w:name="_Toc180347501"/>
      <w:bookmarkStart w:id="92" w:name="_Toc10214"/>
      <w:bookmarkStart w:id="93" w:name="_Toc175067570"/>
      <w:r>
        <w:rPr>
          <w:rFonts w:hint="eastAsia" w:ascii="Times New Roman" w:hAnsi="Times New Roman"/>
          <w:b/>
          <w:color w:val="000000" w:themeColor="text1"/>
          <w:kern w:val="0"/>
          <w:sz w:val="32"/>
          <w:szCs w:val="32"/>
          <w:highlight w:val="none"/>
          <w14:textFill>
            <w14:solidFill>
              <w14:schemeClr w14:val="tx1"/>
            </w14:solidFill>
          </w14:textFill>
        </w:rPr>
        <w:t xml:space="preserve">第八部分  </w:t>
      </w:r>
      <w:r>
        <w:rPr>
          <w:rFonts w:ascii="Times New Roman" w:hAnsi="Times New Roman"/>
          <w:b/>
          <w:color w:val="000000" w:themeColor="text1"/>
          <w:kern w:val="0"/>
          <w:sz w:val="32"/>
          <w:szCs w:val="32"/>
          <w:highlight w:val="none"/>
          <w14:textFill>
            <w14:solidFill>
              <w14:schemeClr w14:val="tx1"/>
            </w14:solidFill>
          </w14:textFill>
        </w:rPr>
        <w:t>相关附件</w:t>
      </w:r>
      <w:bookmarkEnd w:id="91"/>
      <w:bookmarkEnd w:id="92"/>
      <w:bookmarkEnd w:id="93"/>
    </w:p>
    <w:p w14:paraId="377BDDF7">
      <w:pPr>
        <w:keepNext w:val="0"/>
        <w:keepLines w:val="0"/>
        <w:pageBreakBefore w:val="0"/>
        <w:widowControl w:val="0"/>
        <w:kinsoku/>
        <w:overflowPunct/>
        <w:topLinePunct/>
        <w:bidi w:val="0"/>
        <w:ind w:firstLine="562"/>
        <w:rPr>
          <w:b/>
          <w:bCs/>
          <w:sz w:val="30"/>
          <w:szCs w:val="30"/>
          <w:highlight w:val="none"/>
        </w:rPr>
      </w:pPr>
      <w:r>
        <w:rPr>
          <w:b/>
          <w:sz w:val="28"/>
          <w:szCs w:val="28"/>
          <w:highlight w:val="none"/>
        </w:rPr>
        <w:t>附件1：</w:t>
      </w:r>
      <w:r>
        <w:rPr>
          <w:b/>
          <w:bCs/>
          <w:sz w:val="30"/>
          <w:szCs w:val="30"/>
          <w:highlight w:val="none"/>
        </w:rPr>
        <w:t>质疑函范本</w:t>
      </w:r>
    </w:p>
    <w:p w14:paraId="620622AE">
      <w:pPr>
        <w:keepNext w:val="0"/>
        <w:keepLines w:val="0"/>
        <w:pageBreakBefore w:val="0"/>
        <w:widowControl w:val="0"/>
        <w:kinsoku/>
        <w:overflowPunct/>
        <w:topLinePunct/>
        <w:bidi w:val="0"/>
        <w:adjustRightInd w:val="0"/>
        <w:snapToGrid w:val="0"/>
        <w:spacing w:before="240" w:beforeLines="100" w:line="360" w:lineRule="auto"/>
        <w:ind w:firstLine="480"/>
        <w:rPr>
          <w:bCs/>
          <w:sz w:val="24"/>
          <w:highlight w:val="none"/>
        </w:rPr>
      </w:pPr>
      <w:r>
        <w:rPr>
          <w:bCs/>
          <w:sz w:val="24"/>
          <w:highlight w:val="none"/>
        </w:rPr>
        <w:t>一、质疑</w:t>
      </w:r>
      <w:r>
        <w:rPr>
          <w:rFonts w:hint="eastAsia"/>
          <w:bCs/>
          <w:sz w:val="24"/>
          <w:highlight w:val="none"/>
        </w:rPr>
        <w:t>投标人</w:t>
      </w:r>
      <w:r>
        <w:rPr>
          <w:bCs/>
          <w:sz w:val="24"/>
          <w:highlight w:val="none"/>
        </w:rPr>
        <w:t>基本信息</w:t>
      </w:r>
    </w:p>
    <w:p w14:paraId="4BEDB98E">
      <w:pPr>
        <w:keepNext w:val="0"/>
        <w:keepLines w:val="0"/>
        <w:pageBreakBefore w:val="0"/>
        <w:widowControl w:val="0"/>
        <w:kinsoku/>
        <w:overflowPunct/>
        <w:topLinePunct/>
        <w:bidi w:val="0"/>
        <w:adjustRightInd w:val="0"/>
        <w:snapToGrid w:val="0"/>
        <w:spacing w:line="360" w:lineRule="auto"/>
        <w:ind w:firstLine="480"/>
        <w:rPr>
          <w:sz w:val="24"/>
          <w:highlight w:val="none"/>
          <w:u w:val="dotted"/>
        </w:rPr>
      </w:pPr>
      <w:r>
        <w:rPr>
          <w:sz w:val="24"/>
          <w:highlight w:val="none"/>
        </w:rPr>
        <w:t>质疑</w:t>
      </w:r>
      <w:r>
        <w:rPr>
          <w:rFonts w:hint="eastAsia"/>
          <w:sz w:val="24"/>
          <w:highlight w:val="none"/>
        </w:rPr>
        <w:t>投标人</w:t>
      </w:r>
      <w:r>
        <w:rPr>
          <w:sz w:val="24"/>
          <w:highlight w:val="none"/>
        </w:rPr>
        <w:t>：</w:t>
      </w:r>
      <w:r>
        <w:rPr>
          <w:sz w:val="24"/>
          <w:highlight w:val="none"/>
          <w:u w:val="dotted"/>
        </w:rPr>
        <w:t xml:space="preserve">                                        </w:t>
      </w:r>
      <w:r>
        <w:rPr>
          <w:rFonts w:hint="eastAsia"/>
          <w:sz w:val="24"/>
          <w:highlight w:val="none"/>
          <w:u w:val="dotted"/>
        </w:rPr>
        <w:tab/>
      </w:r>
    </w:p>
    <w:p w14:paraId="0AC1EDEE">
      <w:pPr>
        <w:keepNext w:val="0"/>
        <w:keepLines w:val="0"/>
        <w:pageBreakBefore w:val="0"/>
        <w:widowControl w:val="0"/>
        <w:kinsoku/>
        <w:overflowPunct/>
        <w:topLinePunct/>
        <w:bidi w:val="0"/>
        <w:adjustRightInd w:val="0"/>
        <w:snapToGrid w:val="0"/>
        <w:spacing w:line="360" w:lineRule="auto"/>
        <w:ind w:firstLine="480"/>
        <w:rPr>
          <w:sz w:val="24"/>
          <w:highlight w:val="none"/>
        </w:rPr>
      </w:pPr>
      <w:r>
        <w:rPr>
          <w:sz w:val="24"/>
          <w:highlight w:val="none"/>
        </w:rPr>
        <w:t>地址：</w:t>
      </w:r>
      <w:r>
        <w:rPr>
          <w:sz w:val="24"/>
          <w:highlight w:val="none"/>
          <w:u w:val="dotted"/>
        </w:rPr>
        <w:t xml:space="preserve">                    </w:t>
      </w:r>
      <w:r>
        <w:rPr>
          <w:sz w:val="24"/>
          <w:highlight w:val="none"/>
        </w:rPr>
        <w:t>邮编：</w:t>
      </w:r>
      <w:r>
        <w:rPr>
          <w:sz w:val="24"/>
          <w:highlight w:val="none"/>
          <w:u w:val="dotted"/>
        </w:rPr>
        <w:t xml:space="preserve">                                  </w:t>
      </w:r>
      <w:r>
        <w:rPr>
          <w:rFonts w:hint="eastAsia"/>
          <w:sz w:val="24"/>
          <w:highlight w:val="none"/>
          <w:u w:val="dotted"/>
        </w:rPr>
        <w:tab/>
      </w:r>
    </w:p>
    <w:p w14:paraId="49D0EE05">
      <w:pPr>
        <w:keepNext w:val="0"/>
        <w:keepLines w:val="0"/>
        <w:pageBreakBefore w:val="0"/>
        <w:widowControl w:val="0"/>
        <w:kinsoku/>
        <w:overflowPunct/>
        <w:topLinePunct/>
        <w:bidi w:val="0"/>
        <w:adjustRightInd w:val="0"/>
        <w:snapToGrid w:val="0"/>
        <w:spacing w:line="360" w:lineRule="auto"/>
        <w:ind w:firstLine="480"/>
        <w:rPr>
          <w:sz w:val="24"/>
          <w:highlight w:val="non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r>
        <w:rPr>
          <w:rFonts w:hint="eastAsia"/>
          <w:sz w:val="24"/>
          <w:highlight w:val="none"/>
          <w:u w:val="dotted"/>
        </w:rPr>
        <w:tab/>
      </w:r>
    </w:p>
    <w:p w14:paraId="40C05060">
      <w:pPr>
        <w:keepNext w:val="0"/>
        <w:keepLines w:val="0"/>
        <w:pageBreakBefore w:val="0"/>
        <w:widowControl w:val="0"/>
        <w:kinsoku/>
        <w:overflowPunct/>
        <w:topLinePunct/>
        <w:bidi w:val="0"/>
        <w:adjustRightInd w:val="0"/>
        <w:snapToGrid w:val="0"/>
        <w:spacing w:line="360" w:lineRule="auto"/>
        <w:ind w:firstLine="480"/>
        <w:rPr>
          <w:sz w:val="24"/>
          <w:highlight w:val="none"/>
          <w:u w:val="dotted"/>
        </w:rPr>
      </w:pPr>
      <w:r>
        <w:rPr>
          <w:sz w:val="24"/>
          <w:highlight w:val="none"/>
        </w:rPr>
        <w:t>授权代表：</w:t>
      </w:r>
      <w:r>
        <w:rPr>
          <w:sz w:val="24"/>
          <w:highlight w:val="none"/>
          <w:u w:val="dotted"/>
        </w:rPr>
        <w:t xml:space="preserve">                                          </w:t>
      </w:r>
      <w:r>
        <w:rPr>
          <w:rFonts w:hint="eastAsia"/>
          <w:sz w:val="24"/>
          <w:highlight w:val="none"/>
          <w:u w:val="dotted"/>
        </w:rPr>
        <w:tab/>
      </w:r>
    </w:p>
    <w:p w14:paraId="4D9CD830">
      <w:pPr>
        <w:keepNext w:val="0"/>
        <w:keepLines w:val="0"/>
        <w:pageBreakBefore w:val="0"/>
        <w:widowControl w:val="0"/>
        <w:kinsoku/>
        <w:overflowPunct/>
        <w:topLinePunct/>
        <w:bidi w:val="0"/>
        <w:adjustRightInd w:val="0"/>
        <w:snapToGrid w:val="0"/>
        <w:spacing w:line="360" w:lineRule="auto"/>
        <w:ind w:firstLine="480"/>
        <w:rPr>
          <w:sz w:val="24"/>
          <w:highlight w:val="none"/>
        </w:rPr>
      </w:pPr>
      <w:r>
        <w:rPr>
          <w:sz w:val="24"/>
          <w:highlight w:val="none"/>
        </w:rPr>
        <w:t>联系电话：</w:t>
      </w:r>
      <w:r>
        <w:rPr>
          <w:sz w:val="24"/>
          <w:highlight w:val="none"/>
          <w:u w:val="dotted"/>
        </w:rPr>
        <w:t xml:space="preserve">                                           </w:t>
      </w:r>
      <w:r>
        <w:rPr>
          <w:sz w:val="24"/>
          <w:highlight w:val="none"/>
        </w:rPr>
        <w:t xml:space="preserve"> </w:t>
      </w:r>
      <w:r>
        <w:rPr>
          <w:rFonts w:hint="eastAsia"/>
          <w:sz w:val="24"/>
          <w:highlight w:val="none"/>
        </w:rPr>
        <w:tab/>
      </w:r>
    </w:p>
    <w:p w14:paraId="1695E385">
      <w:pPr>
        <w:keepNext w:val="0"/>
        <w:keepLines w:val="0"/>
        <w:pageBreakBefore w:val="0"/>
        <w:widowControl w:val="0"/>
        <w:kinsoku/>
        <w:overflowPunct/>
        <w:topLinePunct/>
        <w:bidi w:val="0"/>
        <w:adjustRightInd w:val="0"/>
        <w:snapToGrid w:val="0"/>
        <w:spacing w:line="360" w:lineRule="auto"/>
        <w:ind w:firstLine="480"/>
        <w:rPr>
          <w:sz w:val="24"/>
          <w:highlight w:val="none"/>
        </w:rPr>
      </w:pPr>
      <w:r>
        <w:rPr>
          <w:sz w:val="24"/>
          <w:highlight w:val="none"/>
        </w:rPr>
        <w:t xml:space="preserve">地址： </w:t>
      </w:r>
      <w:r>
        <w:rPr>
          <w:sz w:val="24"/>
          <w:highlight w:val="none"/>
          <w:u w:val="dotted"/>
        </w:rPr>
        <w:t xml:space="preserve">                  </w:t>
      </w:r>
      <w:r>
        <w:rPr>
          <w:sz w:val="24"/>
          <w:highlight w:val="none"/>
        </w:rPr>
        <w:t>邮编：</w:t>
      </w:r>
      <w:r>
        <w:rPr>
          <w:sz w:val="24"/>
          <w:highlight w:val="none"/>
          <w:u w:val="dotted"/>
        </w:rPr>
        <w:t xml:space="preserve">                                   </w:t>
      </w:r>
      <w:r>
        <w:rPr>
          <w:rFonts w:hint="eastAsia"/>
          <w:sz w:val="24"/>
          <w:highlight w:val="none"/>
          <w:u w:val="dotted"/>
        </w:rPr>
        <w:tab/>
      </w:r>
    </w:p>
    <w:p w14:paraId="1BE405A9">
      <w:pPr>
        <w:keepNext w:val="0"/>
        <w:keepLines w:val="0"/>
        <w:pageBreakBefore w:val="0"/>
        <w:widowControl w:val="0"/>
        <w:kinsoku/>
        <w:overflowPunct/>
        <w:topLinePunct/>
        <w:bidi w:val="0"/>
        <w:adjustRightInd w:val="0"/>
        <w:snapToGrid w:val="0"/>
        <w:spacing w:line="360" w:lineRule="auto"/>
        <w:ind w:firstLine="480"/>
        <w:rPr>
          <w:bCs/>
          <w:sz w:val="24"/>
          <w:highlight w:val="none"/>
        </w:rPr>
      </w:pPr>
      <w:r>
        <w:rPr>
          <w:bCs/>
          <w:sz w:val="24"/>
          <w:highlight w:val="none"/>
        </w:rPr>
        <w:t>二、质疑项目基本情况</w:t>
      </w:r>
    </w:p>
    <w:p w14:paraId="679A92BB">
      <w:pPr>
        <w:keepNext w:val="0"/>
        <w:keepLines w:val="0"/>
        <w:pageBreakBefore w:val="0"/>
        <w:widowControl w:val="0"/>
        <w:kinsoku/>
        <w:overflowPunct/>
        <w:topLinePunct/>
        <w:bidi w:val="0"/>
        <w:adjustRightInd w:val="0"/>
        <w:snapToGrid w:val="0"/>
        <w:spacing w:line="360" w:lineRule="auto"/>
        <w:ind w:firstLine="480"/>
        <w:rPr>
          <w:sz w:val="24"/>
          <w:highlight w:val="none"/>
        </w:rPr>
      </w:pPr>
      <w:r>
        <w:rPr>
          <w:sz w:val="24"/>
          <w:highlight w:val="none"/>
        </w:rPr>
        <w:t>质疑项目的名称：</w:t>
      </w:r>
      <w:r>
        <w:rPr>
          <w:sz w:val="24"/>
          <w:highlight w:val="none"/>
          <w:u w:val="dotted"/>
        </w:rPr>
        <w:t xml:space="preserve">                                      </w:t>
      </w:r>
      <w:r>
        <w:rPr>
          <w:rFonts w:hint="eastAsia"/>
          <w:sz w:val="24"/>
          <w:highlight w:val="none"/>
          <w:u w:val="dotted"/>
        </w:rPr>
        <w:tab/>
      </w:r>
    </w:p>
    <w:p w14:paraId="4A62BAC1">
      <w:pPr>
        <w:keepNext w:val="0"/>
        <w:keepLines w:val="0"/>
        <w:pageBreakBefore w:val="0"/>
        <w:widowControl w:val="0"/>
        <w:kinsoku/>
        <w:overflowPunct/>
        <w:topLinePunct/>
        <w:bidi w:val="0"/>
        <w:adjustRightInd w:val="0"/>
        <w:snapToGrid w:val="0"/>
        <w:spacing w:line="360" w:lineRule="auto"/>
        <w:ind w:firstLine="480"/>
        <w:rPr>
          <w:sz w:val="24"/>
          <w:highlight w:val="none"/>
        </w:rPr>
      </w:pPr>
      <w:r>
        <w:rPr>
          <w:sz w:val="24"/>
          <w:highlight w:val="none"/>
        </w:rPr>
        <w:t>质疑项目的编号：</w:t>
      </w:r>
      <w:r>
        <w:rPr>
          <w:sz w:val="24"/>
          <w:highlight w:val="none"/>
          <w:u w:val="dotted"/>
        </w:rPr>
        <w:t xml:space="preserve">               </w:t>
      </w:r>
      <w:r>
        <w:rPr>
          <w:sz w:val="24"/>
          <w:highlight w:val="none"/>
        </w:rPr>
        <w:t>包号：</w:t>
      </w:r>
      <w:r>
        <w:rPr>
          <w:sz w:val="24"/>
          <w:highlight w:val="none"/>
          <w:u w:val="dotted"/>
        </w:rPr>
        <w:t xml:space="preserve">                 </w:t>
      </w:r>
      <w:r>
        <w:rPr>
          <w:rFonts w:hint="eastAsia"/>
          <w:sz w:val="24"/>
          <w:highlight w:val="none"/>
          <w:u w:val="dotted"/>
        </w:rPr>
        <w:tab/>
      </w:r>
    </w:p>
    <w:p w14:paraId="3DAD3F53">
      <w:pPr>
        <w:keepNext w:val="0"/>
        <w:keepLines w:val="0"/>
        <w:pageBreakBefore w:val="0"/>
        <w:widowControl w:val="0"/>
        <w:kinsoku/>
        <w:overflowPunct/>
        <w:topLinePunct/>
        <w:bidi w:val="0"/>
        <w:adjustRightInd w:val="0"/>
        <w:snapToGrid w:val="0"/>
        <w:spacing w:line="360" w:lineRule="auto"/>
        <w:ind w:firstLine="480"/>
        <w:rPr>
          <w:sz w:val="24"/>
          <w:highlight w:val="none"/>
          <w:u w:val="dotted"/>
        </w:rPr>
      </w:pPr>
      <w:r>
        <w:rPr>
          <w:sz w:val="24"/>
          <w:highlight w:val="none"/>
        </w:rPr>
        <w:t>采购方名称：</w:t>
      </w:r>
      <w:r>
        <w:rPr>
          <w:sz w:val="24"/>
          <w:highlight w:val="none"/>
          <w:u w:val="dotted"/>
        </w:rPr>
        <w:t xml:space="preserve">                                         </w:t>
      </w:r>
      <w:r>
        <w:rPr>
          <w:rFonts w:hint="eastAsia"/>
          <w:sz w:val="24"/>
          <w:highlight w:val="none"/>
          <w:u w:val="dotted"/>
        </w:rPr>
        <w:tab/>
      </w:r>
    </w:p>
    <w:p w14:paraId="7689B198">
      <w:pPr>
        <w:keepNext w:val="0"/>
        <w:keepLines w:val="0"/>
        <w:pageBreakBefore w:val="0"/>
        <w:widowControl w:val="0"/>
        <w:kinsoku/>
        <w:overflowPunct/>
        <w:topLinePunct/>
        <w:bidi w:val="0"/>
        <w:adjustRightInd w:val="0"/>
        <w:snapToGrid w:val="0"/>
        <w:spacing w:line="360" w:lineRule="auto"/>
        <w:ind w:firstLine="480"/>
        <w:rPr>
          <w:sz w:val="24"/>
          <w:highlight w:val="none"/>
        </w:rPr>
      </w:pPr>
      <w:r>
        <w:rPr>
          <w:sz w:val="24"/>
          <w:highlight w:val="none"/>
        </w:rPr>
        <w:t>采购文件获取日期：</w:t>
      </w:r>
      <w:r>
        <w:rPr>
          <w:sz w:val="24"/>
          <w:highlight w:val="none"/>
          <w:u w:val="dotted"/>
        </w:rPr>
        <w:t xml:space="preserve">                                           </w:t>
      </w:r>
      <w:r>
        <w:rPr>
          <w:rFonts w:hint="eastAsia"/>
          <w:sz w:val="24"/>
          <w:highlight w:val="none"/>
          <w:u w:val="dotted"/>
        </w:rPr>
        <w:tab/>
      </w:r>
    </w:p>
    <w:p w14:paraId="022A1CE0">
      <w:pPr>
        <w:keepNext w:val="0"/>
        <w:keepLines w:val="0"/>
        <w:pageBreakBefore w:val="0"/>
        <w:widowControl w:val="0"/>
        <w:kinsoku/>
        <w:overflowPunct/>
        <w:topLinePunct/>
        <w:bidi w:val="0"/>
        <w:adjustRightInd w:val="0"/>
        <w:snapToGrid w:val="0"/>
        <w:spacing w:line="360" w:lineRule="auto"/>
        <w:ind w:firstLine="480"/>
        <w:rPr>
          <w:bCs/>
          <w:sz w:val="24"/>
          <w:highlight w:val="none"/>
        </w:rPr>
      </w:pPr>
      <w:r>
        <w:rPr>
          <w:bCs/>
          <w:sz w:val="24"/>
          <w:highlight w:val="none"/>
        </w:rPr>
        <w:t>三、质疑事项具体内容</w:t>
      </w:r>
    </w:p>
    <w:p w14:paraId="4E2B3DAD">
      <w:pPr>
        <w:keepNext w:val="0"/>
        <w:keepLines w:val="0"/>
        <w:pageBreakBefore w:val="0"/>
        <w:widowControl w:val="0"/>
        <w:kinsoku/>
        <w:overflowPunct/>
        <w:topLinePunct/>
        <w:bidi w:val="0"/>
        <w:adjustRightInd w:val="0"/>
        <w:snapToGrid w:val="0"/>
        <w:spacing w:line="360" w:lineRule="auto"/>
        <w:ind w:firstLine="480"/>
        <w:rPr>
          <w:sz w:val="24"/>
          <w:highlight w:val="none"/>
          <w:u w:val="dotted"/>
        </w:rPr>
      </w:pPr>
      <w:r>
        <w:rPr>
          <w:sz w:val="24"/>
          <w:highlight w:val="none"/>
        </w:rPr>
        <w:t>质疑事项1：</w:t>
      </w:r>
      <w:r>
        <w:rPr>
          <w:sz w:val="24"/>
          <w:highlight w:val="none"/>
          <w:u w:val="dotted"/>
        </w:rPr>
        <w:t xml:space="preserve">                                         </w:t>
      </w:r>
      <w:r>
        <w:rPr>
          <w:rFonts w:hint="eastAsia"/>
          <w:sz w:val="24"/>
          <w:highlight w:val="none"/>
          <w:u w:val="dotted"/>
        </w:rPr>
        <w:tab/>
      </w:r>
    </w:p>
    <w:p w14:paraId="089520EB">
      <w:pPr>
        <w:keepNext w:val="0"/>
        <w:keepLines w:val="0"/>
        <w:pageBreakBefore w:val="0"/>
        <w:widowControl w:val="0"/>
        <w:kinsoku/>
        <w:overflowPunct/>
        <w:topLinePunct/>
        <w:bidi w:val="0"/>
        <w:adjustRightInd w:val="0"/>
        <w:snapToGrid w:val="0"/>
        <w:spacing w:line="360" w:lineRule="auto"/>
        <w:ind w:firstLine="480"/>
        <w:rPr>
          <w:sz w:val="24"/>
          <w:highlight w:val="none"/>
          <w:u w:val="dotted"/>
        </w:rPr>
      </w:pPr>
      <w:r>
        <w:rPr>
          <w:sz w:val="24"/>
          <w:highlight w:val="none"/>
        </w:rPr>
        <w:t>事实依据：</w:t>
      </w:r>
      <w:r>
        <w:rPr>
          <w:sz w:val="24"/>
          <w:highlight w:val="none"/>
          <w:u w:val="dotted"/>
        </w:rPr>
        <w:t xml:space="preserve">                                          </w:t>
      </w:r>
      <w:r>
        <w:rPr>
          <w:rFonts w:hint="eastAsia"/>
          <w:sz w:val="24"/>
          <w:highlight w:val="none"/>
          <w:u w:val="dotted"/>
        </w:rPr>
        <w:tab/>
      </w:r>
    </w:p>
    <w:p w14:paraId="3369C5BD">
      <w:pPr>
        <w:keepNext w:val="0"/>
        <w:keepLines w:val="0"/>
        <w:pageBreakBefore w:val="0"/>
        <w:widowControl w:val="0"/>
        <w:kinsoku/>
        <w:overflowPunct/>
        <w:topLinePunct/>
        <w:bidi w:val="0"/>
        <w:adjustRightInd w:val="0"/>
        <w:snapToGrid w:val="0"/>
        <w:spacing w:line="360" w:lineRule="auto"/>
        <w:ind w:firstLine="480"/>
        <w:rPr>
          <w:sz w:val="24"/>
          <w:highlight w:val="none"/>
        </w:rPr>
      </w:pPr>
      <w:r>
        <w:rPr>
          <w:sz w:val="24"/>
          <w:highlight w:val="none"/>
          <w:u w:val="dotted"/>
        </w:rPr>
        <w:t xml:space="preserve">                                                       </w:t>
      </w:r>
      <w:r>
        <w:rPr>
          <w:rFonts w:hint="eastAsia"/>
          <w:sz w:val="24"/>
          <w:highlight w:val="none"/>
          <w:u w:val="dotted"/>
        </w:rPr>
        <w:tab/>
      </w:r>
    </w:p>
    <w:p w14:paraId="06304DD9">
      <w:pPr>
        <w:keepNext w:val="0"/>
        <w:keepLines w:val="0"/>
        <w:pageBreakBefore w:val="0"/>
        <w:widowControl w:val="0"/>
        <w:kinsoku/>
        <w:overflowPunct/>
        <w:topLinePunct/>
        <w:bidi w:val="0"/>
        <w:adjustRightInd w:val="0"/>
        <w:snapToGrid w:val="0"/>
        <w:spacing w:line="360" w:lineRule="auto"/>
        <w:ind w:firstLine="480"/>
        <w:rPr>
          <w:sz w:val="24"/>
          <w:highlight w:val="none"/>
          <w:u w:val="dotted"/>
        </w:rPr>
      </w:pPr>
      <w:r>
        <w:rPr>
          <w:sz w:val="24"/>
          <w:highlight w:val="none"/>
        </w:rPr>
        <w:t>法律依据：</w:t>
      </w:r>
      <w:r>
        <w:rPr>
          <w:sz w:val="24"/>
          <w:highlight w:val="none"/>
          <w:u w:val="dotted"/>
        </w:rPr>
        <w:t xml:space="preserve">                                          </w:t>
      </w:r>
      <w:r>
        <w:rPr>
          <w:rFonts w:hint="eastAsia"/>
          <w:sz w:val="24"/>
          <w:highlight w:val="none"/>
          <w:u w:val="dotted"/>
        </w:rPr>
        <w:tab/>
      </w:r>
    </w:p>
    <w:p w14:paraId="4AFE0A8C">
      <w:pPr>
        <w:keepNext w:val="0"/>
        <w:keepLines w:val="0"/>
        <w:pageBreakBefore w:val="0"/>
        <w:widowControl w:val="0"/>
        <w:kinsoku/>
        <w:overflowPunct/>
        <w:topLinePunct/>
        <w:bidi w:val="0"/>
        <w:adjustRightInd w:val="0"/>
        <w:snapToGrid w:val="0"/>
        <w:spacing w:line="360" w:lineRule="auto"/>
        <w:ind w:firstLine="480"/>
        <w:rPr>
          <w:sz w:val="24"/>
          <w:highlight w:val="none"/>
          <w:u w:val="dotted"/>
        </w:rPr>
      </w:pPr>
      <w:r>
        <w:rPr>
          <w:sz w:val="24"/>
          <w:highlight w:val="none"/>
          <w:u w:val="dotted"/>
        </w:rPr>
        <w:t xml:space="preserve">                                                     </w:t>
      </w:r>
      <w:r>
        <w:rPr>
          <w:rFonts w:hint="eastAsia"/>
          <w:sz w:val="24"/>
          <w:highlight w:val="none"/>
          <w:u w:val="dotted"/>
        </w:rPr>
        <w:tab/>
      </w:r>
    </w:p>
    <w:p w14:paraId="5598C89E">
      <w:pPr>
        <w:keepNext w:val="0"/>
        <w:keepLines w:val="0"/>
        <w:pageBreakBefore w:val="0"/>
        <w:widowControl w:val="0"/>
        <w:kinsoku/>
        <w:overflowPunct/>
        <w:topLinePunct/>
        <w:bidi w:val="0"/>
        <w:adjustRightInd w:val="0"/>
        <w:snapToGrid w:val="0"/>
        <w:spacing w:line="360" w:lineRule="auto"/>
        <w:ind w:firstLine="480"/>
        <w:rPr>
          <w:sz w:val="24"/>
          <w:highlight w:val="none"/>
        </w:rPr>
      </w:pPr>
      <w:r>
        <w:rPr>
          <w:sz w:val="24"/>
          <w:highlight w:val="none"/>
        </w:rPr>
        <w:t>质疑事项2</w:t>
      </w:r>
      <w:r>
        <w:rPr>
          <w:sz w:val="24"/>
          <w:highlight w:val="none"/>
          <w:u w:val="dotted"/>
        </w:rPr>
        <w:t xml:space="preserve">                                          </w:t>
      </w:r>
    </w:p>
    <w:p w14:paraId="0CA4072E">
      <w:pPr>
        <w:keepNext w:val="0"/>
        <w:keepLines w:val="0"/>
        <w:pageBreakBefore w:val="0"/>
        <w:widowControl w:val="0"/>
        <w:kinsoku/>
        <w:overflowPunct/>
        <w:topLinePunct/>
        <w:bidi w:val="0"/>
        <w:adjustRightInd w:val="0"/>
        <w:snapToGrid w:val="0"/>
        <w:spacing w:line="360" w:lineRule="auto"/>
        <w:ind w:firstLine="480"/>
        <w:rPr>
          <w:bCs/>
          <w:sz w:val="24"/>
          <w:highlight w:val="none"/>
        </w:rPr>
      </w:pPr>
      <w:r>
        <w:rPr>
          <w:bCs/>
          <w:sz w:val="24"/>
          <w:highlight w:val="none"/>
        </w:rPr>
        <w:t>四、与质疑事项相关的质疑请求</w:t>
      </w:r>
    </w:p>
    <w:p w14:paraId="0D42056B">
      <w:pPr>
        <w:keepNext w:val="0"/>
        <w:keepLines w:val="0"/>
        <w:pageBreakBefore w:val="0"/>
        <w:widowControl w:val="0"/>
        <w:kinsoku/>
        <w:overflowPunct/>
        <w:topLinePunct/>
        <w:bidi w:val="0"/>
        <w:adjustRightInd w:val="0"/>
        <w:snapToGrid w:val="0"/>
        <w:spacing w:line="360" w:lineRule="auto"/>
        <w:ind w:firstLine="480"/>
        <w:rPr>
          <w:sz w:val="24"/>
          <w:highlight w:val="none"/>
          <w:u w:val="dotted"/>
        </w:rPr>
      </w:pPr>
      <w:r>
        <w:rPr>
          <w:sz w:val="24"/>
          <w:highlight w:val="none"/>
        </w:rPr>
        <w:t>请求：</w:t>
      </w:r>
      <w:r>
        <w:rPr>
          <w:sz w:val="24"/>
          <w:highlight w:val="none"/>
          <w:u w:val="dotted"/>
        </w:rPr>
        <w:t xml:space="preserve">                                               </w:t>
      </w:r>
      <w:r>
        <w:rPr>
          <w:rFonts w:hint="eastAsia"/>
          <w:sz w:val="24"/>
          <w:highlight w:val="none"/>
          <w:u w:val="dotted"/>
        </w:rPr>
        <w:tab/>
      </w:r>
    </w:p>
    <w:p w14:paraId="7EF304D7">
      <w:pPr>
        <w:keepNext w:val="0"/>
        <w:keepLines w:val="0"/>
        <w:pageBreakBefore w:val="0"/>
        <w:widowControl w:val="0"/>
        <w:kinsoku/>
        <w:overflowPunct/>
        <w:topLinePunct/>
        <w:bidi w:val="0"/>
        <w:spacing w:line="360" w:lineRule="auto"/>
        <w:ind w:firstLine="2160" w:firstLineChars="900"/>
        <w:rPr>
          <w:sz w:val="24"/>
          <w:highlight w:val="none"/>
        </w:rPr>
      </w:pPr>
      <w:r>
        <w:rPr>
          <w:sz w:val="24"/>
          <w:highlight w:val="none"/>
        </w:rPr>
        <w:t>签字(签章)：</w:t>
      </w:r>
      <w:r>
        <w:rPr>
          <w:sz w:val="24"/>
          <w:highlight w:val="none"/>
          <w:u w:val="single"/>
        </w:rPr>
        <w:t xml:space="preserve">                 </w:t>
      </w:r>
      <w:r>
        <w:rPr>
          <w:sz w:val="24"/>
          <w:highlight w:val="none"/>
        </w:rPr>
        <w:t xml:space="preserve">  </w:t>
      </w:r>
    </w:p>
    <w:p w14:paraId="6989380D">
      <w:pPr>
        <w:keepNext w:val="0"/>
        <w:keepLines w:val="0"/>
        <w:pageBreakBefore w:val="0"/>
        <w:widowControl w:val="0"/>
        <w:kinsoku/>
        <w:overflowPunct/>
        <w:topLinePunct/>
        <w:bidi w:val="0"/>
        <w:spacing w:line="360" w:lineRule="auto"/>
        <w:ind w:firstLine="2160" w:firstLineChars="900"/>
        <w:rPr>
          <w:sz w:val="24"/>
          <w:highlight w:val="none"/>
        </w:rPr>
      </w:pPr>
      <w:r>
        <w:rPr>
          <w:sz w:val="24"/>
          <w:highlight w:val="none"/>
        </w:rPr>
        <w:t>公章：</w:t>
      </w:r>
      <w:r>
        <w:rPr>
          <w:sz w:val="24"/>
          <w:highlight w:val="none"/>
          <w:u w:val="single"/>
        </w:rPr>
        <w:t xml:space="preserve">                </w:t>
      </w:r>
      <w:r>
        <w:rPr>
          <w:rFonts w:hint="eastAsia"/>
          <w:sz w:val="24"/>
          <w:highlight w:val="none"/>
          <w:u w:val="single"/>
        </w:rPr>
        <w:tab/>
      </w:r>
    </w:p>
    <w:p w14:paraId="737F4D92">
      <w:pPr>
        <w:keepNext w:val="0"/>
        <w:keepLines w:val="0"/>
        <w:pageBreakBefore w:val="0"/>
        <w:widowControl w:val="0"/>
        <w:kinsoku/>
        <w:overflowPunct/>
        <w:topLinePunct/>
        <w:bidi w:val="0"/>
        <w:spacing w:line="360" w:lineRule="auto"/>
        <w:ind w:firstLine="2160" w:firstLineChars="900"/>
        <w:rPr>
          <w:sz w:val="24"/>
          <w:highlight w:val="none"/>
          <w:u w:val="single"/>
        </w:rPr>
      </w:pPr>
      <w:r>
        <w:rPr>
          <w:sz w:val="24"/>
          <w:highlight w:val="none"/>
        </w:rPr>
        <w:t>日      期：</w:t>
      </w:r>
      <w:r>
        <w:rPr>
          <w:sz w:val="24"/>
          <w:highlight w:val="none"/>
          <w:u w:val="single"/>
        </w:rPr>
        <w:t xml:space="preserve">            </w:t>
      </w:r>
      <w:r>
        <w:rPr>
          <w:rFonts w:hint="eastAsia"/>
          <w:sz w:val="24"/>
          <w:highlight w:val="none"/>
          <w:u w:val="single"/>
        </w:rPr>
        <w:tab/>
      </w:r>
    </w:p>
    <w:p w14:paraId="7416507D">
      <w:pPr>
        <w:pStyle w:val="5"/>
        <w:keepNext w:val="0"/>
        <w:keepLines w:val="0"/>
        <w:pageBreakBefore w:val="0"/>
        <w:widowControl w:val="0"/>
        <w:kinsoku/>
        <w:overflowPunct/>
        <w:topLinePunct/>
        <w:bidi w:val="0"/>
        <w:adjustRightInd w:val="0"/>
        <w:snapToGrid w:val="0"/>
        <w:spacing w:before="120" w:after="0" w:line="360" w:lineRule="auto"/>
        <w:ind w:firstLine="643"/>
        <w:jc w:val="center"/>
        <w:rPr>
          <w:b w:val="0"/>
          <w:sz w:val="30"/>
          <w:szCs w:val="30"/>
          <w:highlight w:val="none"/>
        </w:rPr>
      </w:pPr>
      <w:r>
        <w:rPr>
          <w:highlight w:val="none"/>
        </w:rPr>
        <w:br w:type="page"/>
      </w:r>
      <w:r>
        <w:rPr>
          <w:b w:val="0"/>
          <w:sz w:val="30"/>
          <w:szCs w:val="30"/>
          <w:highlight w:val="none"/>
        </w:rPr>
        <w:t>质疑函制作说明</w:t>
      </w:r>
    </w:p>
    <w:p w14:paraId="231EEA95">
      <w:pPr>
        <w:keepNext w:val="0"/>
        <w:keepLines w:val="0"/>
        <w:pageBreakBefore w:val="0"/>
        <w:widowControl w:val="0"/>
        <w:kinsoku/>
        <w:overflowPunct/>
        <w:topLinePunct/>
        <w:bidi w:val="0"/>
        <w:ind w:firstLine="482"/>
        <w:jc w:val="center"/>
        <w:rPr>
          <w:b/>
          <w:sz w:val="24"/>
          <w:highlight w:val="none"/>
        </w:rPr>
      </w:pPr>
    </w:p>
    <w:p w14:paraId="2FEAB398">
      <w:pPr>
        <w:keepNext w:val="0"/>
        <w:keepLines w:val="0"/>
        <w:pageBreakBefore w:val="0"/>
        <w:widowControl w:val="0"/>
        <w:kinsoku/>
        <w:overflowPunct/>
        <w:topLinePunct/>
        <w:bidi w:val="0"/>
        <w:spacing w:line="360" w:lineRule="auto"/>
        <w:ind w:firstLine="480" w:firstLineChars="200"/>
        <w:jc w:val="left"/>
        <w:rPr>
          <w:sz w:val="24"/>
          <w:highlight w:val="none"/>
        </w:rPr>
      </w:pPr>
      <w:r>
        <w:rPr>
          <w:sz w:val="24"/>
          <w:highlight w:val="none"/>
        </w:rPr>
        <w:t>1.</w:t>
      </w:r>
      <w:r>
        <w:rPr>
          <w:rFonts w:hint="eastAsia"/>
          <w:sz w:val="24"/>
          <w:highlight w:val="none"/>
        </w:rPr>
        <w:t>投标人</w:t>
      </w:r>
      <w:r>
        <w:rPr>
          <w:sz w:val="24"/>
          <w:highlight w:val="none"/>
        </w:rPr>
        <w:t>提出质疑时，应提交质疑函和必要的证明材料。</w:t>
      </w:r>
    </w:p>
    <w:p w14:paraId="440598DC">
      <w:pPr>
        <w:keepNext w:val="0"/>
        <w:keepLines w:val="0"/>
        <w:pageBreakBefore w:val="0"/>
        <w:widowControl w:val="0"/>
        <w:kinsoku/>
        <w:overflowPunct/>
        <w:topLinePunct/>
        <w:bidi w:val="0"/>
        <w:spacing w:line="360" w:lineRule="auto"/>
        <w:ind w:firstLine="480" w:firstLineChars="200"/>
        <w:jc w:val="left"/>
        <w:rPr>
          <w:sz w:val="24"/>
          <w:highlight w:val="none"/>
        </w:rPr>
      </w:pPr>
      <w:r>
        <w:rPr>
          <w:sz w:val="24"/>
          <w:highlight w:val="none"/>
        </w:rPr>
        <w:t>2.质疑</w:t>
      </w:r>
      <w:r>
        <w:rPr>
          <w:rFonts w:hint="eastAsia"/>
          <w:sz w:val="24"/>
          <w:highlight w:val="none"/>
        </w:rPr>
        <w:t>投标人</w:t>
      </w:r>
      <w:r>
        <w:rPr>
          <w:sz w:val="24"/>
          <w:highlight w:val="none"/>
        </w:rPr>
        <w:t>若委托代理人进行质疑的，质疑函应按要求列明“授权代表”的有关内容，并在附件中提交由质疑</w:t>
      </w:r>
      <w:r>
        <w:rPr>
          <w:rFonts w:hint="eastAsia"/>
          <w:kern w:val="0"/>
          <w:sz w:val="24"/>
          <w:highlight w:val="none"/>
        </w:rPr>
        <w:t>投标人</w:t>
      </w:r>
      <w:r>
        <w:rPr>
          <w:kern w:val="0"/>
          <w:sz w:val="24"/>
          <w:highlight w:val="none"/>
        </w:rPr>
        <w:t>签署的授权委托书。授权委托书应载明代理人的姓名或者名称、代理事项、具体权限、期限和相关事项。</w:t>
      </w:r>
    </w:p>
    <w:p w14:paraId="240371D2">
      <w:pPr>
        <w:keepNext w:val="0"/>
        <w:keepLines w:val="0"/>
        <w:pageBreakBefore w:val="0"/>
        <w:widowControl w:val="0"/>
        <w:kinsoku/>
        <w:overflowPunct/>
        <w:topLinePunct/>
        <w:bidi w:val="0"/>
        <w:spacing w:line="360" w:lineRule="auto"/>
        <w:ind w:firstLine="480" w:firstLineChars="200"/>
        <w:jc w:val="left"/>
        <w:rPr>
          <w:sz w:val="24"/>
          <w:highlight w:val="none"/>
        </w:rPr>
      </w:pPr>
      <w:r>
        <w:rPr>
          <w:sz w:val="24"/>
          <w:highlight w:val="none"/>
        </w:rPr>
        <w:t>3.质疑</w:t>
      </w:r>
      <w:r>
        <w:rPr>
          <w:rFonts w:hint="eastAsia"/>
          <w:sz w:val="24"/>
          <w:highlight w:val="none"/>
        </w:rPr>
        <w:t>投标人</w:t>
      </w:r>
      <w:r>
        <w:rPr>
          <w:sz w:val="24"/>
          <w:highlight w:val="none"/>
        </w:rPr>
        <w:t>若对项目的某一分包进行质疑，质疑函中应列明具体分包号。</w:t>
      </w:r>
    </w:p>
    <w:p w14:paraId="58EDDD35">
      <w:pPr>
        <w:keepNext w:val="0"/>
        <w:keepLines w:val="0"/>
        <w:pageBreakBefore w:val="0"/>
        <w:widowControl w:val="0"/>
        <w:kinsoku/>
        <w:overflowPunct/>
        <w:topLinePunct/>
        <w:bidi w:val="0"/>
        <w:spacing w:line="360" w:lineRule="auto"/>
        <w:ind w:firstLine="480" w:firstLineChars="200"/>
        <w:jc w:val="left"/>
        <w:rPr>
          <w:sz w:val="24"/>
          <w:highlight w:val="none"/>
        </w:rPr>
      </w:pPr>
      <w:r>
        <w:rPr>
          <w:sz w:val="24"/>
          <w:highlight w:val="none"/>
        </w:rPr>
        <w:t>4.质疑函的质疑事项应具体、明确，并有必要的事实依据和法律依据。</w:t>
      </w:r>
    </w:p>
    <w:p w14:paraId="12B7C647">
      <w:pPr>
        <w:keepNext w:val="0"/>
        <w:keepLines w:val="0"/>
        <w:pageBreakBefore w:val="0"/>
        <w:widowControl w:val="0"/>
        <w:kinsoku/>
        <w:overflowPunct/>
        <w:topLinePunct/>
        <w:bidi w:val="0"/>
        <w:spacing w:line="360" w:lineRule="auto"/>
        <w:ind w:firstLine="480" w:firstLineChars="200"/>
        <w:jc w:val="left"/>
        <w:rPr>
          <w:sz w:val="24"/>
          <w:highlight w:val="none"/>
        </w:rPr>
      </w:pPr>
      <w:r>
        <w:rPr>
          <w:sz w:val="24"/>
          <w:highlight w:val="none"/>
        </w:rPr>
        <w:t>5.质疑函的质疑请求应与质疑事项相关。</w:t>
      </w:r>
    </w:p>
    <w:p w14:paraId="561C81B1">
      <w:pPr>
        <w:keepNext w:val="0"/>
        <w:keepLines w:val="0"/>
        <w:pageBreakBefore w:val="0"/>
        <w:widowControl w:val="0"/>
        <w:kinsoku/>
        <w:overflowPunct/>
        <w:topLinePunct/>
        <w:bidi w:val="0"/>
        <w:spacing w:line="360" w:lineRule="auto"/>
        <w:ind w:firstLine="480" w:firstLineChars="200"/>
        <w:jc w:val="left"/>
        <w:rPr>
          <w:sz w:val="24"/>
          <w:highlight w:val="none"/>
        </w:rPr>
      </w:pPr>
      <w:r>
        <w:rPr>
          <w:sz w:val="24"/>
          <w:highlight w:val="none"/>
        </w:rPr>
        <w:t>6.质疑</w:t>
      </w:r>
      <w:r>
        <w:rPr>
          <w:rFonts w:hint="eastAsia"/>
          <w:sz w:val="24"/>
          <w:highlight w:val="none"/>
        </w:rPr>
        <w:t>投标人</w:t>
      </w:r>
      <w:r>
        <w:rPr>
          <w:sz w:val="24"/>
          <w:highlight w:val="none"/>
        </w:rPr>
        <w:t>为自然人的，质疑函应由本人签字；质疑</w:t>
      </w:r>
      <w:r>
        <w:rPr>
          <w:rFonts w:hint="eastAsia"/>
          <w:sz w:val="24"/>
          <w:highlight w:val="none"/>
        </w:rPr>
        <w:t>投标人</w:t>
      </w:r>
      <w:r>
        <w:rPr>
          <w:sz w:val="24"/>
          <w:highlight w:val="none"/>
        </w:rPr>
        <w:t>为法人或者其他组织的，质疑函应由法定代表人、主要负责人，或者其授权代表签字或者盖章，并加盖公章。</w:t>
      </w:r>
    </w:p>
    <w:p w14:paraId="57F4E9B1">
      <w:pPr>
        <w:keepNext w:val="0"/>
        <w:keepLines w:val="0"/>
        <w:pageBreakBefore w:val="0"/>
        <w:widowControl w:val="0"/>
        <w:kinsoku/>
        <w:overflowPunct/>
        <w:topLinePunct/>
        <w:bidi w:val="0"/>
        <w:ind w:firstLine="602"/>
        <w:rPr>
          <w:b/>
          <w:sz w:val="30"/>
          <w:szCs w:val="30"/>
          <w:highlight w:val="none"/>
        </w:rPr>
      </w:pPr>
      <w:r>
        <w:rPr>
          <w:b/>
          <w:bCs/>
          <w:sz w:val="30"/>
          <w:szCs w:val="30"/>
          <w:highlight w:val="none"/>
        </w:rPr>
        <w:br w:type="page"/>
      </w:r>
      <w:r>
        <w:rPr>
          <w:b/>
          <w:bCs/>
          <w:sz w:val="30"/>
          <w:szCs w:val="30"/>
          <w:highlight w:val="none"/>
        </w:rPr>
        <w:t>附件2：</w:t>
      </w:r>
      <w:r>
        <w:rPr>
          <w:b/>
          <w:sz w:val="30"/>
          <w:szCs w:val="30"/>
          <w:highlight w:val="none"/>
        </w:rPr>
        <w:t>投诉书范本</w:t>
      </w:r>
    </w:p>
    <w:p w14:paraId="5F68D848">
      <w:pPr>
        <w:keepNext w:val="0"/>
        <w:keepLines w:val="0"/>
        <w:pageBreakBefore w:val="0"/>
        <w:widowControl w:val="0"/>
        <w:kinsoku/>
        <w:overflowPunct/>
        <w:topLinePunct/>
        <w:bidi w:val="0"/>
        <w:ind w:firstLine="480"/>
        <w:rPr>
          <w:sz w:val="24"/>
          <w:highlight w:val="none"/>
        </w:rPr>
      </w:pPr>
    </w:p>
    <w:p w14:paraId="3B8D138D">
      <w:pPr>
        <w:keepNext w:val="0"/>
        <w:keepLines w:val="0"/>
        <w:pageBreakBefore w:val="0"/>
        <w:widowControl w:val="0"/>
        <w:kinsoku/>
        <w:overflowPunct/>
        <w:topLinePunct/>
        <w:bidi w:val="0"/>
        <w:spacing w:line="360" w:lineRule="auto"/>
        <w:ind w:firstLine="480"/>
        <w:rPr>
          <w:sz w:val="24"/>
          <w:highlight w:val="none"/>
        </w:rPr>
      </w:pPr>
      <w:r>
        <w:rPr>
          <w:sz w:val="24"/>
          <w:highlight w:val="none"/>
        </w:rPr>
        <w:t>一、投诉相关主体基本情况</w:t>
      </w:r>
    </w:p>
    <w:p w14:paraId="17260DEB">
      <w:pPr>
        <w:keepNext w:val="0"/>
        <w:keepLines w:val="0"/>
        <w:pageBreakBefore w:val="0"/>
        <w:widowControl w:val="0"/>
        <w:kinsoku/>
        <w:overflowPunct/>
        <w:topLinePunct/>
        <w:bidi w:val="0"/>
        <w:spacing w:line="360" w:lineRule="auto"/>
        <w:ind w:firstLine="480"/>
        <w:rPr>
          <w:sz w:val="24"/>
          <w:highlight w:val="none"/>
          <w:u w:val="dotted"/>
        </w:rPr>
      </w:pPr>
      <w:r>
        <w:rPr>
          <w:sz w:val="24"/>
          <w:highlight w:val="none"/>
        </w:rPr>
        <w:t>投诉人：</w:t>
      </w:r>
      <w:r>
        <w:rPr>
          <w:sz w:val="24"/>
          <w:highlight w:val="none"/>
          <w:u w:val="dotted"/>
        </w:rPr>
        <w:t xml:space="preserve">                                               </w:t>
      </w:r>
      <w:r>
        <w:rPr>
          <w:rFonts w:hint="eastAsia"/>
          <w:sz w:val="24"/>
          <w:highlight w:val="none"/>
          <w:u w:val="dotted"/>
        </w:rPr>
        <w:tab/>
      </w:r>
    </w:p>
    <w:p w14:paraId="4FC6D4E7">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r>
        <w:rPr>
          <w:rFonts w:hint="eastAsia"/>
          <w:sz w:val="24"/>
          <w:highlight w:val="none"/>
          <w:u w:val="dotted"/>
        </w:rPr>
        <w:tab/>
      </w:r>
    </w:p>
    <w:p w14:paraId="4E555966">
      <w:pPr>
        <w:keepNext w:val="0"/>
        <w:keepLines w:val="0"/>
        <w:pageBreakBefore w:val="0"/>
        <w:widowControl w:val="0"/>
        <w:tabs>
          <w:tab w:val="left" w:pos="6510"/>
        </w:tabs>
        <w:kinsoku/>
        <w:overflowPunct/>
        <w:topLinePunct/>
        <w:bidi w:val="0"/>
        <w:spacing w:line="360" w:lineRule="auto"/>
        <w:ind w:firstLine="480"/>
        <w:jc w:val="left"/>
        <w:rPr>
          <w:sz w:val="24"/>
          <w:highlight w:val="none"/>
        </w:rPr>
      </w:pPr>
      <w:r>
        <w:rPr>
          <w:sz w:val="24"/>
          <w:highlight w:val="none"/>
        </w:rPr>
        <w:t>法定代表人/主要负责人：</w:t>
      </w:r>
      <w:r>
        <w:rPr>
          <w:sz w:val="24"/>
          <w:highlight w:val="none"/>
          <w:u w:val="dotted"/>
        </w:rPr>
        <w:t xml:space="preserve">                                   </w:t>
      </w:r>
      <w:r>
        <w:rPr>
          <w:sz w:val="24"/>
          <w:highlight w:val="none"/>
        </w:rPr>
        <w:t xml:space="preserve">  </w:t>
      </w:r>
      <w:r>
        <w:rPr>
          <w:rFonts w:hint="eastAsia"/>
          <w:sz w:val="24"/>
          <w:highlight w:val="none"/>
        </w:rPr>
        <w:tab/>
      </w:r>
    </w:p>
    <w:p w14:paraId="745D3D65">
      <w:pPr>
        <w:keepNext w:val="0"/>
        <w:keepLines w:val="0"/>
        <w:pageBreakBefore w:val="0"/>
        <w:widowControl w:val="0"/>
        <w:tabs>
          <w:tab w:val="left" w:pos="6510"/>
        </w:tabs>
        <w:kinsoku/>
        <w:overflowPunct/>
        <w:topLinePunct/>
        <w:bidi w:val="0"/>
        <w:spacing w:line="360" w:lineRule="auto"/>
        <w:ind w:firstLine="480"/>
        <w:rPr>
          <w:sz w:val="24"/>
          <w:highlight w:val="none"/>
          <w:u w:val="dotted"/>
        </w:rPr>
      </w:pPr>
      <w:r>
        <w:rPr>
          <w:sz w:val="24"/>
          <w:highlight w:val="none"/>
        </w:rPr>
        <w:t>联系电话：</w:t>
      </w:r>
      <w:r>
        <w:rPr>
          <w:sz w:val="24"/>
          <w:highlight w:val="none"/>
          <w:u w:val="dotted"/>
        </w:rPr>
        <w:t xml:space="preserve">                                             </w:t>
      </w:r>
      <w:r>
        <w:rPr>
          <w:rFonts w:hint="eastAsia"/>
          <w:sz w:val="24"/>
          <w:highlight w:val="none"/>
          <w:u w:val="dotted"/>
        </w:rPr>
        <w:tab/>
      </w:r>
    </w:p>
    <w:p w14:paraId="38E56DFA">
      <w:pPr>
        <w:keepNext w:val="0"/>
        <w:keepLines w:val="0"/>
        <w:pageBreakBefore w:val="0"/>
        <w:widowControl w:val="0"/>
        <w:kinsoku/>
        <w:overflowPunct/>
        <w:topLinePunct/>
        <w:bidi w:val="0"/>
        <w:spacing w:line="360" w:lineRule="auto"/>
        <w:ind w:firstLine="480"/>
        <w:rPr>
          <w:sz w:val="24"/>
          <w:highlight w:val="none"/>
          <w:u w:val="dotted"/>
        </w:rPr>
      </w:pPr>
      <w:r>
        <w:rPr>
          <w:sz w:val="24"/>
          <w:highlight w:val="none"/>
        </w:rPr>
        <w:t>授权代表：</w:t>
      </w:r>
      <w:r>
        <w:rPr>
          <w:sz w:val="24"/>
          <w:highlight w:val="none"/>
          <w:u w:val="dotted"/>
        </w:rPr>
        <w:t xml:space="preserve">             </w:t>
      </w:r>
      <w:r>
        <w:rPr>
          <w:sz w:val="24"/>
          <w:highlight w:val="none"/>
        </w:rPr>
        <w:t>联系电话</w:t>
      </w:r>
      <w:r>
        <w:rPr>
          <w:sz w:val="24"/>
          <w:highlight w:val="none"/>
          <w:u w:val="dotted"/>
        </w:rPr>
        <w:t xml:space="preserve">：                  </w:t>
      </w:r>
      <w:r>
        <w:rPr>
          <w:rFonts w:hint="eastAsia"/>
          <w:sz w:val="24"/>
          <w:highlight w:val="none"/>
          <w:u w:val="dotted"/>
        </w:rPr>
        <w:tab/>
      </w:r>
    </w:p>
    <w:p w14:paraId="2220ABC6">
      <w:pPr>
        <w:keepNext w:val="0"/>
        <w:keepLines w:val="0"/>
        <w:pageBreakBefore w:val="0"/>
        <w:widowControl w:val="0"/>
        <w:kinsoku/>
        <w:overflowPunct/>
        <w:topLinePunct/>
        <w:bidi w:val="0"/>
        <w:spacing w:line="360" w:lineRule="auto"/>
        <w:ind w:firstLine="480"/>
        <w:rPr>
          <w:sz w:val="24"/>
          <w:highlight w:val="none"/>
          <w:u w:val="dotted"/>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r>
        <w:rPr>
          <w:rFonts w:hint="eastAsia"/>
          <w:sz w:val="24"/>
          <w:highlight w:val="none"/>
          <w:u w:val="dotted"/>
        </w:rPr>
        <w:tab/>
      </w:r>
    </w:p>
    <w:p w14:paraId="72503B49">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被投诉人1：</w:t>
      </w:r>
      <w:r>
        <w:rPr>
          <w:sz w:val="24"/>
          <w:highlight w:val="none"/>
          <w:u w:val="dotted"/>
        </w:rPr>
        <w:t xml:space="preserve">                                           </w:t>
      </w:r>
      <w:r>
        <w:rPr>
          <w:rFonts w:hint="eastAsia"/>
          <w:sz w:val="24"/>
          <w:highlight w:val="none"/>
          <w:u w:val="dotted"/>
        </w:rPr>
        <w:tab/>
      </w:r>
    </w:p>
    <w:p w14:paraId="4A18CE1E">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r>
        <w:rPr>
          <w:rFonts w:hint="eastAsia"/>
          <w:sz w:val="24"/>
          <w:highlight w:val="none"/>
          <w:u w:val="dotted"/>
        </w:rPr>
        <w:tab/>
      </w:r>
    </w:p>
    <w:p w14:paraId="58A85DA2">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r>
        <w:rPr>
          <w:rFonts w:hint="eastAsia"/>
          <w:sz w:val="24"/>
          <w:highlight w:val="none"/>
          <w:u w:val="dotted"/>
        </w:rPr>
        <w:tab/>
      </w:r>
    </w:p>
    <w:p w14:paraId="4AB0DCDA">
      <w:pPr>
        <w:keepNext w:val="0"/>
        <w:keepLines w:val="0"/>
        <w:pageBreakBefore w:val="0"/>
        <w:widowControl w:val="0"/>
        <w:kinsoku/>
        <w:overflowPunct/>
        <w:topLinePunct/>
        <w:bidi w:val="0"/>
        <w:spacing w:line="360" w:lineRule="auto"/>
        <w:ind w:firstLine="480"/>
        <w:rPr>
          <w:sz w:val="24"/>
          <w:highlight w:val="none"/>
          <w:u w:val="dotted"/>
        </w:rPr>
      </w:pPr>
      <w:r>
        <w:rPr>
          <w:sz w:val="24"/>
          <w:highlight w:val="none"/>
        </w:rPr>
        <w:t>被投诉人2</w:t>
      </w:r>
      <w:r>
        <w:rPr>
          <w:sz w:val="24"/>
          <w:highlight w:val="none"/>
          <w:u w:val="dotted"/>
        </w:rPr>
        <w:t xml:space="preserve">                                          </w:t>
      </w:r>
    </w:p>
    <w:p w14:paraId="1A451AED">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相关</w:t>
      </w:r>
      <w:r>
        <w:rPr>
          <w:rFonts w:hint="eastAsia"/>
          <w:sz w:val="24"/>
          <w:highlight w:val="none"/>
        </w:rPr>
        <w:t>投标人</w:t>
      </w:r>
      <w:r>
        <w:rPr>
          <w:sz w:val="24"/>
          <w:highlight w:val="none"/>
        </w:rPr>
        <w:t>：</w:t>
      </w:r>
      <w:r>
        <w:rPr>
          <w:sz w:val="24"/>
          <w:highlight w:val="none"/>
          <w:u w:val="dotted"/>
        </w:rPr>
        <w:t xml:space="preserve">                                           </w:t>
      </w:r>
      <w:r>
        <w:rPr>
          <w:rFonts w:hint="eastAsia"/>
          <w:sz w:val="24"/>
          <w:highlight w:val="none"/>
          <w:u w:val="dotted"/>
        </w:rPr>
        <w:tab/>
      </w:r>
    </w:p>
    <w:p w14:paraId="5AAC40EB">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地     址：</w:t>
      </w:r>
      <w:r>
        <w:rPr>
          <w:sz w:val="24"/>
          <w:highlight w:val="none"/>
          <w:u w:val="dotted"/>
        </w:rPr>
        <w:t xml:space="preserve">                             </w:t>
      </w:r>
      <w:r>
        <w:rPr>
          <w:sz w:val="24"/>
          <w:highlight w:val="none"/>
        </w:rPr>
        <w:t>邮编：</w:t>
      </w:r>
      <w:r>
        <w:rPr>
          <w:sz w:val="24"/>
          <w:highlight w:val="none"/>
          <w:u w:val="dotted"/>
        </w:rPr>
        <w:t xml:space="preserve">          </w:t>
      </w:r>
      <w:r>
        <w:rPr>
          <w:rFonts w:hint="eastAsia"/>
          <w:sz w:val="24"/>
          <w:highlight w:val="none"/>
          <w:u w:val="dotted"/>
        </w:rPr>
        <w:tab/>
      </w:r>
    </w:p>
    <w:p w14:paraId="34C8B2DF">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联系人：</w:t>
      </w:r>
      <w:r>
        <w:rPr>
          <w:sz w:val="24"/>
          <w:highlight w:val="none"/>
          <w:u w:val="dotted"/>
        </w:rPr>
        <w:t xml:space="preserve">               </w:t>
      </w:r>
      <w:r>
        <w:rPr>
          <w:sz w:val="24"/>
          <w:highlight w:val="none"/>
        </w:rPr>
        <w:t>联系电话：</w:t>
      </w:r>
      <w:r>
        <w:rPr>
          <w:sz w:val="24"/>
          <w:highlight w:val="none"/>
          <w:u w:val="dotted"/>
        </w:rPr>
        <w:t xml:space="preserve">                      </w:t>
      </w:r>
      <w:r>
        <w:rPr>
          <w:rFonts w:hint="eastAsia"/>
          <w:sz w:val="24"/>
          <w:highlight w:val="none"/>
          <w:u w:val="dotted"/>
        </w:rPr>
        <w:tab/>
      </w:r>
    </w:p>
    <w:p w14:paraId="3F7B5521">
      <w:pPr>
        <w:keepNext w:val="0"/>
        <w:keepLines w:val="0"/>
        <w:pageBreakBefore w:val="0"/>
        <w:widowControl w:val="0"/>
        <w:kinsoku/>
        <w:overflowPunct/>
        <w:topLinePunct/>
        <w:bidi w:val="0"/>
        <w:spacing w:line="360" w:lineRule="auto"/>
        <w:ind w:firstLine="480"/>
        <w:rPr>
          <w:sz w:val="24"/>
          <w:highlight w:val="none"/>
        </w:rPr>
      </w:pPr>
      <w:r>
        <w:rPr>
          <w:sz w:val="24"/>
          <w:highlight w:val="none"/>
        </w:rPr>
        <w:t>二、投诉项目基本情况</w:t>
      </w:r>
    </w:p>
    <w:p w14:paraId="40A4B50B">
      <w:pPr>
        <w:keepNext w:val="0"/>
        <w:keepLines w:val="0"/>
        <w:pageBreakBefore w:val="0"/>
        <w:widowControl w:val="0"/>
        <w:kinsoku/>
        <w:overflowPunct/>
        <w:topLinePunct/>
        <w:bidi w:val="0"/>
        <w:spacing w:line="360" w:lineRule="auto"/>
        <w:ind w:firstLine="480"/>
        <w:rPr>
          <w:sz w:val="24"/>
          <w:highlight w:val="none"/>
          <w:u w:val="dotted"/>
        </w:rPr>
      </w:pPr>
      <w:r>
        <w:rPr>
          <w:sz w:val="24"/>
          <w:highlight w:val="none"/>
        </w:rPr>
        <w:t>采购项目名称：</w:t>
      </w:r>
      <w:r>
        <w:rPr>
          <w:sz w:val="24"/>
          <w:highlight w:val="none"/>
          <w:u w:val="dotted"/>
        </w:rPr>
        <w:t xml:space="preserve">                                        </w:t>
      </w:r>
      <w:r>
        <w:rPr>
          <w:rFonts w:hint="eastAsia"/>
          <w:sz w:val="24"/>
          <w:highlight w:val="none"/>
          <w:u w:val="dotted"/>
        </w:rPr>
        <w:tab/>
      </w:r>
    </w:p>
    <w:p w14:paraId="63D46A32">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采购项目编号：</w:t>
      </w:r>
      <w:r>
        <w:rPr>
          <w:sz w:val="24"/>
          <w:highlight w:val="none"/>
          <w:u w:val="dotted"/>
        </w:rPr>
        <w:t xml:space="preserve">                 </w:t>
      </w:r>
      <w:r>
        <w:rPr>
          <w:sz w:val="24"/>
          <w:highlight w:val="none"/>
        </w:rPr>
        <w:t>包号：</w:t>
      </w:r>
      <w:r>
        <w:rPr>
          <w:sz w:val="24"/>
          <w:highlight w:val="none"/>
          <w:u w:val="dotted"/>
        </w:rPr>
        <w:t xml:space="preserve">              </w:t>
      </w:r>
      <w:r>
        <w:rPr>
          <w:rFonts w:hint="eastAsia"/>
          <w:sz w:val="24"/>
          <w:highlight w:val="none"/>
          <w:u w:val="dotted"/>
        </w:rPr>
        <w:tab/>
      </w:r>
    </w:p>
    <w:p w14:paraId="3F9AC5E8">
      <w:pPr>
        <w:keepNext w:val="0"/>
        <w:keepLines w:val="0"/>
        <w:pageBreakBefore w:val="0"/>
        <w:widowControl w:val="0"/>
        <w:kinsoku/>
        <w:overflowPunct/>
        <w:topLinePunct/>
        <w:bidi w:val="0"/>
        <w:spacing w:line="360" w:lineRule="auto"/>
        <w:ind w:firstLine="480"/>
        <w:rPr>
          <w:sz w:val="24"/>
          <w:highlight w:val="none"/>
        </w:rPr>
      </w:pPr>
      <w:r>
        <w:rPr>
          <w:sz w:val="24"/>
          <w:highlight w:val="none"/>
        </w:rPr>
        <w:t>采购方名称：</w:t>
      </w:r>
      <w:r>
        <w:rPr>
          <w:sz w:val="24"/>
          <w:highlight w:val="none"/>
          <w:u w:val="dotted"/>
        </w:rPr>
        <w:t xml:space="preserve">                                           </w:t>
      </w:r>
      <w:r>
        <w:rPr>
          <w:rFonts w:hint="eastAsia"/>
          <w:sz w:val="24"/>
          <w:highlight w:val="none"/>
          <w:u w:val="dotted"/>
        </w:rPr>
        <w:tab/>
      </w:r>
    </w:p>
    <w:p w14:paraId="3C1F0B74">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代理机构名称：</w:t>
      </w:r>
      <w:r>
        <w:rPr>
          <w:sz w:val="24"/>
          <w:highlight w:val="none"/>
          <w:u w:val="dotted"/>
        </w:rPr>
        <w:t xml:space="preserve">                                         </w:t>
      </w:r>
      <w:r>
        <w:rPr>
          <w:rFonts w:hint="eastAsia"/>
          <w:sz w:val="24"/>
          <w:highlight w:val="none"/>
          <w:u w:val="dotted"/>
        </w:rPr>
        <w:tab/>
      </w:r>
    </w:p>
    <w:p w14:paraId="32CD5CCD">
      <w:pPr>
        <w:keepNext w:val="0"/>
        <w:keepLines w:val="0"/>
        <w:pageBreakBefore w:val="0"/>
        <w:widowControl w:val="0"/>
        <w:kinsoku/>
        <w:overflowPunct/>
        <w:topLinePunct/>
        <w:bidi w:val="0"/>
        <w:spacing w:line="360" w:lineRule="auto"/>
        <w:ind w:firstLine="480"/>
        <w:rPr>
          <w:sz w:val="24"/>
          <w:highlight w:val="none"/>
          <w:u w:val="dotted"/>
        </w:rPr>
      </w:pPr>
      <w:r>
        <w:rPr>
          <w:sz w:val="24"/>
          <w:highlight w:val="none"/>
        </w:rPr>
        <w:t>采购文件公告：</w:t>
      </w:r>
      <w:r>
        <w:rPr>
          <w:sz w:val="24"/>
          <w:highlight w:val="none"/>
          <w:u w:val="dotted"/>
        </w:rPr>
        <w:t xml:space="preserve">是/否 </w:t>
      </w:r>
      <w:r>
        <w:rPr>
          <w:sz w:val="24"/>
          <w:highlight w:val="none"/>
        </w:rPr>
        <w:t>公告期限：</w:t>
      </w:r>
      <w:r>
        <w:rPr>
          <w:sz w:val="24"/>
          <w:highlight w:val="none"/>
          <w:u w:val="dotted"/>
        </w:rPr>
        <w:t xml:space="preserve">                                 </w:t>
      </w:r>
      <w:r>
        <w:rPr>
          <w:rFonts w:hint="eastAsia"/>
          <w:sz w:val="24"/>
          <w:highlight w:val="none"/>
          <w:u w:val="dotted"/>
        </w:rPr>
        <w:tab/>
      </w:r>
    </w:p>
    <w:p w14:paraId="6B9AB193">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采购结果公告：</w:t>
      </w:r>
      <w:r>
        <w:rPr>
          <w:sz w:val="24"/>
          <w:highlight w:val="none"/>
          <w:u w:val="dotted"/>
        </w:rPr>
        <w:t xml:space="preserve">是/否 </w:t>
      </w:r>
      <w:r>
        <w:rPr>
          <w:sz w:val="24"/>
          <w:highlight w:val="none"/>
        </w:rPr>
        <w:t>公告期限：</w:t>
      </w:r>
      <w:r>
        <w:rPr>
          <w:sz w:val="24"/>
          <w:highlight w:val="none"/>
          <w:u w:val="dotted"/>
        </w:rPr>
        <w:t xml:space="preserve">                        </w:t>
      </w:r>
      <w:r>
        <w:rPr>
          <w:rFonts w:hint="eastAsia"/>
          <w:sz w:val="24"/>
          <w:highlight w:val="none"/>
          <w:u w:val="dotted"/>
        </w:rPr>
        <w:tab/>
      </w:r>
    </w:p>
    <w:p w14:paraId="4DC8CBDC">
      <w:pPr>
        <w:keepNext w:val="0"/>
        <w:keepLines w:val="0"/>
        <w:pageBreakBefore w:val="0"/>
        <w:widowControl w:val="0"/>
        <w:kinsoku/>
        <w:overflowPunct/>
        <w:topLinePunct/>
        <w:bidi w:val="0"/>
        <w:spacing w:line="360" w:lineRule="auto"/>
        <w:ind w:firstLine="480"/>
        <w:rPr>
          <w:sz w:val="24"/>
          <w:highlight w:val="none"/>
        </w:rPr>
      </w:pPr>
      <w:r>
        <w:rPr>
          <w:sz w:val="24"/>
          <w:highlight w:val="none"/>
        </w:rPr>
        <w:t>三、质疑基本情况</w:t>
      </w:r>
    </w:p>
    <w:p w14:paraId="3E93ACB6">
      <w:pPr>
        <w:keepNext w:val="0"/>
        <w:keepLines w:val="0"/>
        <w:pageBreakBefore w:val="0"/>
        <w:widowControl w:val="0"/>
        <w:kinsoku/>
        <w:overflowPunct/>
        <w:topLinePunct/>
        <w:bidi w:val="0"/>
        <w:spacing w:line="360" w:lineRule="auto"/>
        <w:ind w:firstLine="480" w:firstLineChars="200"/>
        <w:rPr>
          <w:sz w:val="24"/>
          <w:highlight w:val="none"/>
        </w:rPr>
      </w:pPr>
      <w:r>
        <w:rPr>
          <w:sz w:val="24"/>
          <w:highlight w:val="none"/>
        </w:rPr>
        <w:t>投诉人于</w:t>
      </w:r>
      <w:r>
        <w:rPr>
          <w:sz w:val="24"/>
          <w:highlight w:val="none"/>
          <w:u w:val="dotted"/>
        </w:rPr>
        <w:t xml:space="preserve">   </w:t>
      </w:r>
      <w:r>
        <w:rPr>
          <w:sz w:val="24"/>
          <w:highlight w:val="none"/>
        </w:rPr>
        <w:t>年</w:t>
      </w:r>
      <w:r>
        <w:rPr>
          <w:sz w:val="24"/>
          <w:highlight w:val="none"/>
          <w:u w:val="dotted"/>
        </w:rPr>
        <w:t xml:space="preserve">   </w:t>
      </w:r>
      <w:r>
        <w:rPr>
          <w:sz w:val="24"/>
          <w:highlight w:val="none"/>
        </w:rPr>
        <w:t>月</w:t>
      </w:r>
      <w:r>
        <w:rPr>
          <w:sz w:val="24"/>
          <w:highlight w:val="none"/>
          <w:u w:val="dotted"/>
        </w:rPr>
        <w:t xml:space="preserve">  </w:t>
      </w:r>
      <w:r>
        <w:rPr>
          <w:sz w:val="24"/>
          <w:highlight w:val="none"/>
        </w:rPr>
        <w:t>日</w:t>
      </w:r>
      <w:r>
        <w:rPr>
          <w:rFonts w:hint="eastAsia"/>
          <w:sz w:val="24"/>
          <w:highlight w:val="none"/>
        </w:rPr>
        <w:t>，</w:t>
      </w:r>
      <w:r>
        <w:rPr>
          <w:sz w:val="24"/>
          <w:highlight w:val="none"/>
        </w:rPr>
        <w:t>向</w:t>
      </w:r>
      <w:r>
        <w:rPr>
          <w:sz w:val="24"/>
          <w:highlight w:val="none"/>
          <w:u w:val="dotted"/>
        </w:rPr>
        <w:t xml:space="preserve">                   </w:t>
      </w:r>
      <w:r>
        <w:rPr>
          <w:sz w:val="24"/>
          <w:highlight w:val="none"/>
        </w:rPr>
        <w:t>提出质疑</w:t>
      </w:r>
    </w:p>
    <w:p w14:paraId="65B63D34">
      <w:pPr>
        <w:keepNext w:val="0"/>
        <w:keepLines w:val="0"/>
        <w:pageBreakBefore w:val="0"/>
        <w:widowControl w:val="0"/>
        <w:kinsoku/>
        <w:overflowPunct/>
        <w:topLinePunct/>
        <w:bidi w:val="0"/>
        <w:spacing w:line="360" w:lineRule="auto"/>
        <w:ind w:firstLine="480" w:firstLineChars="200"/>
        <w:rPr>
          <w:sz w:val="24"/>
          <w:highlight w:val="none"/>
          <w:u w:val="dotted"/>
        </w:rPr>
      </w:pPr>
      <w:r>
        <w:rPr>
          <w:sz w:val="24"/>
          <w:highlight w:val="none"/>
        </w:rPr>
        <w:t>质疑事项为：</w:t>
      </w:r>
      <w:r>
        <w:rPr>
          <w:sz w:val="24"/>
          <w:highlight w:val="none"/>
          <w:u w:val="dotted"/>
        </w:rPr>
        <w:t xml:space="preserve">                                </w:t>
      </w:r>
      <w:r>
        <w:rPr>
          <w:rFonts w:hint="eastAsia"/>
          <w:sz w:val="24"/>
          <w:highlight w:val="none"/>
          <w:u w:val="dotted"/>
        </w:rPr>
        <w:tab/>
      </w:r>
    </w:p>
    <w:p w14:paraId="516EDCA5">
      <w:pPr>
        <w:keepNext w:val="0"/>
        <w:keepLines w:val="0"/>
        <w:pageBreakBefore w:val="0"/>
        <w:widowControl w:val="0"/>
        <w:kinsoku/>
        <w:overflowPunct/>
        <w:topLinePunct/>
        <w:bidi w:val="0"/>
        <w:spacing w:line="360" w:lineRule="auto"/>
        <w:ind w:firstLine="360" w:firstLineChars="150"/>
        <w:rPr>
          <w:sz w:val="24"/>
          <w:highlight w:val="none"/>
        </w:rPr>
      </w:pPr>
      <w:r>
        <w:rPr>
          <w:sz w:val="24"/>
          <w:highlight w:val="none"/>
          <w:u w:val="dotted"/>
        </w:rPr>
        <w:t>采购方/代理机构</w:t>
      </w:r>
      <w:r>
        <w:rPr>
          <w:sz w:val="24"/>
          <w:highlight w:val="none"/>
        </w:rPr>
        <w:t>于</w:t>
      </w:r>
      <w:r>
        <w:rPr>
          <w:sz w:val="24"/>
          <w:highlight w:val="none"/>
          <w:u w:val="dotted"/>
        </w:rPr>
        <w:t xml:space="preserve">   </w:t>
      </w:r>
      <w:r>
        <w:rPr>
          <w:sz w:val="24"/>
          <w:highlight w:val="none"/>
        </w:rPr>
        <w:t>年</w:t>
      </w:r>
      <w:r>
        <w:rPr>
          <w:sz w:val="24"/>
          <w:highlight w:val="none"/>
          <w:u w:val="dotted"/>
        </w:rPr>
        <w:t xml:space="preserve">   </w:t>
      </w:r>
      <w:r>
        <w:rPr>
          <w:sz w:val="24"/>
          <w:highlight w:val="none"/>
        </w:rPr>
        <w:t>月</w:t>
      </w:r>
      <w:r>
        <w:rPr>
          <w:sz w:val="24"/>
          <w:highlight w:val="none"/>
          <w:u w:val="dotted"/>
        </w:rPr>
        <w:t xml:space="preserve">   </w:t>
      </w:r>
      <w:r>
        <w:rPr>
          <w:sz w:val="24"/>
          <w:highlight w:val="none"/>
        </w:rPr>
        <w:t>日，就质疑事项作出了答复/没有在法定期限内作出答复。</w:t>
      </w:r>
    </w:p>
    <w:p w14:paraId="63921EBA">
      <w:pPr>
        <w:keepNext w:val="0"/>
        <w:keepLines w:val="0"/>
        <w:pageBreakBefore w:val="0"/>
        <w:widowControl w:val="0"/>
        <w:kinsoku/>
        <w:overflowPunct/>
        <w:topLinePunct/>
        <w:bidi w:val="0"/>
        <w:spacing w:line="360" w:lineRule="auto"/>
        <w:ind w:firstLine="480"/>
        <w:rPr>
          <w:sz w:val="24"/>
          <w:highlight w:val="none"/>
        </w:rPr>
      </w:pPr>
      <w:r>
        <w:rPr>
          <w:sz w:val="24"/>
          <w:highlight w:val="none"/>
        </w:rPr>
        <w:t>四、投诉事项具体内容</w:t>
      </w:r>
    </w:p>
    <w:p w14:paraId="4279C3EA">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投诉事项 1：</w:t>
      </w:r>
      <w:r>
        <w:rPr>
          <w:sz w:val="24"/>
          <w:highlight w:val="none"/>
          <w:u w:val="dotted"/>
        </w:rPr>
        <w:t xml:space="preserve">                                       </w:t>
      </w:r>
      <w:r>
        <w:rPr>
          <w:rFonts w:hint="eastAsia"/>
          <w:sz w:val="24"/>
          <w:highlight w:val="none"/>
          <w:u w:val="dotted"/>
        </w:rPr>
        <w:tab/>
      </w:r>
    </w:p>
    <w:p w14:paraId="1A27AAA6">
      <w:pPr>
        <w:keepNext w:val="0"/>
        <w:keepLines w:val="0"/>
        <w:pageBreakBefore w:val="0"/>
        <w:widowControl w:val="0"/>
        <w:kinsoku/>
        <w:overflowPunct/>
        <w:topLinePunct/>
        <w:bidi w:val="0"/>
        <w:spacing w:line="360" w:lineRule="auto"/>
        <w:ind w:firstLine="480"/>
        <w:rPr>
          <w:sz w:val="24"/>
          <w:highlight w:val="none"/>
        </w:rPr>
      </w:pPr>
      <w:r>
        <w:rPr>
          <w:sz w:val="24"/>
          <w:highlight w:val="none"/>
        </w:rPr>
        <w:t>事实依据：</w:t>
      </w:r>
      <w:r>
        <w:rPr>
          <w:sz w:val="24"/>
          <w:highlight w:val="none"/>
          <w:u w:val="dotted"/>
        </w:rPr>
        <w:t xml:space="preserve">                                         </w:t>
      </w:r>
      <w:r>
        <w:rPr>
          <w:rFonts w:hint="eastAsia"/>
          <w:sz w:val="24"/>
          <w:highlight w:val="none"/>
          <w:u w:val="dotted"/>
        </w:rPr>
        <w:tab/>
      </w:r>
    </w:p>
    <w:p w14:paraId="12919925">
      <w:pPr>
        <w:keepNext w:val="0"/>
        <w:keepLines w:val="0"/>
        <w:pageBreakBefore w:val="0"/>
        <w:widowControl w:val="0"/>
        <w:kinsoku/>
        <w:overflowPunct/>
        <w:topLinePunct/>
        <w:bidi w:val="0"/>
        <w:spacing w:line="360" w:lineRule="auto"/>
        <w:ind w:firstLine="480"/>
        <w:rPr>
          <w:sz w:val="24"/>
          <w:highlight w:val="none"/>
          <w:u w:val="dotted"/>
        </w:rPr>
      </w:pPr>
      <w:r>
        <w:rPr>
          <w:sz w:val="24"/>
          <w:highlight w:val="none"/>
          <w:u w:val="dotted"/>
        </w:rPr>
        <w:t xml:space="preserve">                                                      </w:t>
      </w:r>
      <w:r>
        <w:rPr>
          <w:rFonts w:hint="eastAsia"/>
          <w:sz w:val="24"/>
          <w:highlight w:val="none"/>
          <w:u w:val="dotted"/>
        </w:rPr>
        <w:tab/>
      </w:r>
    </w:p>
    <w:p w14:paraId="2F90EF41">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法律依据：</w:t>
      </w:r>
      <w:r>
        <w:rPr>
          <w:sz w:val="24"/>
          <w:highlight w:val="none"/>
          <w:u w:val="dotted"/>
        </w:rPr>
        <w:t xml:space="preserve">                                          </w:t>
      </w:r>
      <w:r>
        <w:rPr>
          <w:rFonts w:hint="eastAsia"/>
          <w:sz w:val="24"/>
          <w:highlight w:val="none"/>
          <w:u w:val="dotted"/>
        </w:rPr>
        <w:tab/>
      </w:r>
    </w:p>
    <w:p w14:paraId="1A017B57">
      <w:pPr>
        <w:keepNext w:val="0"/>
        <w:keepLines w:val="0"/>
        <w:pageBreakBefore w:val="0"/>
        <w:widowControl w:val="0"/>
        <w:kinsoku/>
        <w:overflowPunct/>
        <w:topLinePunct/>
        <w:bidi w:val="0"/>
        <w:spacing w:line="360" w:lineRule="auto"/>
        <w:ind w:firstLine="480"/>
        <w:rPr>
          <w:sz w:val="24"/>
          <w:highlight w:val="none"/>
          <w:u w:val="dotted"/>
        </w:rPr>
      </w:pPr>
      <w:r>
        <w:rPr>
          <w:sz w:val="24"/>
          <w:highlight w:val="none"/>
          <w:u w:val="dotted"/>
        </w:rPr>
        <w:t xml:space="preserve">                                                      </w:t>
      </w:r>
      <w:r>
        <w:rPr>
          <w:rFonts w:hint="eastAsia"/>
          <w:sz w:val="24"/>
          <w:highlight w:val="none"/>
          <w:u w:val="dotted"/>
        </w:rPr>
        <w:tab/>
      </w:r>
    </w:p>
    <w:p w14:paraId="0E404F16">
      <w:pPr>
        <w:keepNext w:val="0"/>
        <w:keepLines w:val="0"/>
        <w:pageBreakBefore w:val="0"/>
        <w:widowControl w:val="0"/>
        <w:kinsoku/>
        <w:overflowPunct/>
        <w:topLinePunct/>
        <w:bidi w:val="0"/>
        <w:spacing w:line="360" w:lineRule="auto"/>
        <w:ind w:firstLine="480"/>
        <w:rPr>
          <w:sz w:val="24"/>
          <w:highlight w:val="none"/>
          <w:u w:val="dotted"/>
        </w:rPr>
      </w:pPr>
      <w:r>
        <w:rPr>
          <w:sz w:val="24"/>
          <w:highlight w:val="none"/>
        </w:rPr>
        <w:t>投诉事项2</w:t>
      </w:r>
      <w:r>
        <w:rPr>
          <w:sz w:val="24"/>
          <w:highlight w:val="none"/>
          <w:u w:val="dotted"/>
        </w:rPr>
        <w:t xml:space="preserve">                                          </w:t>
      </w:r>
    </w:p>
    <w:p w14:paraId="59BB3188">
      <w:pPr>
        <w:keepNext w:val="0"/>
        <w:keepLines w:val="0"/>
        <w:pageBreakBefore w:val="0"/>
        <w:widowControl w:val="0"/>
        <w:kinsoku/>
        <w:overflowPunct/>
        <w:topLinePunct/>
        <w:bidi w:val="0"/>
        <w:spacing w:line="360" w:lineRule="auto"/>
        <w:ind w:firstLine="480"/>
        <w:rPr>
          <w:sz w:val="24"/>
          <w:highlight w:val="none"/>
        </w:rPr>
      </w:pPr>
      <w:r>
        <w:rPr>
          <w:sz w:val="24"/>
          <w:highlight w:val="none"/>
        </w:rPr>
        <w:t>五、与投诉事项相关的投诉请求</w:t>
      </w:r>
    </w:p>
    <w:p w14:paraId="6BC97A65">
      <w:pPr>
        <w:keepNext w:val="0"/>
        <w:keepLines w:val="0"/>
        <w:pageBreakBefore w:val="0"/>
        <w:widowControl w:val="0"/>
        <w:kinsoku/>
        <w:overflowPunct/>
        <w:topLinePunct/>
        <w:bidi w:val="0"/>
        <w:spacing w:line="360" w:lineRule="auto"/>
        <w:ind w:firstLine="480"/>
        <w:rPr>
          <w:sz w:val="24"/>
          <w:highlight w:val="none"/>
        </w:rPr>
      </w:pPr>
      <w:r>
        <w:rPr>
          <w:sz w:val="24"/>
          <w:highlight w:val="none"/>
        </w:rPr>
        <w:t>请求：</w:t>
      </w:r>
      <w:r>
        <w:rPr>
          <w:sz w:val="24"/>
          <w:highlight w:val="none"/>
          <w:u w:val="dotted"/>
        </w:rPr>
        <w:t xml:space="preserve">                                              </w:t>
      </w:r>
      <w:r>
        <w:rPr>
          <w:sz w:val="24"/>
          <w:highlight w:val="none"/>
        </w:rPr>
        <w:t xml:space="preserve"> </w:t>
      </w:r>
      <w:r>
        <w:rPr>
          <w:rFonts w:hint="eastAsia"/>
          <w:sz w:val="24"/>
          <w:highlight w:val="none"/>
        </w:rPr>
        <w:tab/>
      </w:r>
    </w:p>
    <w:p w14:paraId="54F95850">
      <w:pPr>
        <w:keepNext w:val="0"/>
        <w:keepLines w:val="0"/>
        <w:pageBreakBefore w:val="0"/>
        <w:widowControl w:val="0"/>
        <w:kinsoku/>
        <w:overflowPunct/>
        <w:topLinePunct/>
        <w:bidi w:val="0"/>
        <w:spacing w:line="360" w:lineRule="auto"/>
        <w:ind w:firstLine="480"/>
        <w:rPr>
          <w:sz w:val="24"/>
          <w:highlight w:val="none"/>
          <w:u w:val="single"/>
        </w:rPr>
      </w:pPr>
      <w:r>
        <w:rPr>
          <w:sz w:val="24"/>
          <w:highlight w:val="none"/>
        </w:rPr>
        <w:t xml:space="preserve">                                                                                                    </w:t>
      </w:r>
    </w:p>
    <w:p w14:paraId="4467F308">
      <w:pPr>
        <w:keepNext w:val="0"/>
        <w:keepLines w:val="0"/>
        <w:pageBreakBefore w:val="0"/>
        <w:widowControl w:val="0"/>
        <w:kinsoku/>
        <w:overflowPunct/>
        <w:topLinePunct/>
        <w:bidi w:val="0"/>
        <w:spacing w:line="360" w:lineRule="auto"/>
        <w:ind w:firstLine="2400" w:firstLineChars="1000"/>
        <w:rPr>
          <w:sz w:val="24"/>
          <w:highlight w:val="none"/>
        </w:rPr>
      </w:pPr>
      <w:r>
        <w:rPr>
          <w:sz w:val="24"/>
          <w:highlight w:val="none"/>
        </w:rPr>
        <w:t>签字(签章)：</w:t>
      </w:r>
      <w:r>
        <w:rPr>
          <w:sz w:val="24"/>
          <w:highlight w:val="none"/>
          <w:u w:val="single"/>
        </w:rPr>
        <w:t xml:space="preserve">                  </w:t>
      </w:r>
      <w:r>
        <w:rPr>
          <w:sz w:val="24"/>
          <w:highlight w:val="none"/>
        </w:rPr>
        <w:t xml:space="preserve"> </w:t>
      </w:r>
    </w:p>
    <w:p w14:paraId="607D37F9">
      <w:pPr>
        <w:keepNext w:val="0"/>
        <w:keepLines w:val="0"/>
        <w:pageBreakBefore w:val="0"/>
        <w:widowControl w:val="0"/>
        <w:kinsoku/>
        <w:overflowPunct/>
        <w:topLinePunct/>
        <w:bidi w:val="0"/>
        <w:spacing w:line="360" w:lineRule="auto"/>
        <w:ind w:firstLine="2400" w:firstLineChars="1000"/>
        <w:rPr>
          <w:sz w:val="24"/>
          <w:highlight w:val="none"/>
        </w:rPr>
      </w:pPr>
      <w:r>
        <w:rPr>
          <w:sz w:val="24"/>
          <w:highlight w:val="none"/>
        </w:rPr>
        <w:t>公章：</w:t>
      </w:r>
      <w:r>
        <w:rPr>
          <w:sz w:val="24"/>
          <w:highlight w:val="none"/>
          <w:u w:val="single"/>
        </w:rPr>
        <w:t xml:space="preserve">               </w:t>
      </w:r>
      <w:r>
        <w:rPr>
          <w:rFonts w:hint="eastAsia"/>
          <w:sz w:val="24"/>
          <w:highlight w:val="none"/>
          <w:u w:val="single"/>
        </w:rPr>
        <w:tab/>
      </w:r>
    </w:p>
    <w:p w14:paraId="7C64A376">
      <w:pPr>
        <w:keepNext w:val="0"/>
        <w:keepLines w:val="0"/>
        <w:pageBreakBefore w:val="0"/>
        <w:widowControl w:val="0"/>
        <w:kinsoku/>
        <w:overflowPunct/>
        <w:topLinePunct/>
        <w:bidi w:val="0"/>
        <w:spacing w:line="360" w:lineRule="auto"/>
        <w:ind w:firstLine="2400" w:firstLineChars="1000"/>
        <w:rPr>
          <w:b/>
          <w:sz w:val="24"/>
          <w:highlight w:val="none"/>
        </w:rPr>
      </w:pPr>
      <w:r>
        <w:rPr>
          <w:sz w:val="24"/>
          <w:highlight w:val="none"/>
        </w:rPr>
        <w:t>日       期：</w:t>
      </w:r>
      <w:r>
        <w:rPr>
          <w:sz w:val="24"/>
          <w:highlight w:val="none"/>
          <w:u w:val="single"/>
        </w:rPr>
        <w:t xml:space="preserve">              </w:t>
      </w:r>
      <w:r>
        <w:rPr>
          <w:rFonts w:hint="eastAsia"/>
          <w:sz w:val="24"/>
          <w:highlight w:val="none"/>
          <w:u w:val="single"/>
        </w:rPr>
        <w:tab/>
      </w:r>
    </w:p>
    <w:p w14:paraId="39914F3C">
      <w:pPr>
        <w:keepNext w:val="0"/>
        <w:keepLines w:val="0"/>
        <w:pageBreakBefore w:val="0"/>
        <w:widowControl w:val="0"/>
        <w:kinsoku/>
        <w:overflowPunct/>
        <w:topLinePunct/>
        <w:bidi w:val="0"/>
        <w:ind w:firstLine="482"/>
        <w:rPr>
          <w:b/>
          <w:sz w:val="24"/>
          <w:highlight w:val="none"/>
        </w:rPr>
      </w:pPr>
    </w:p>
    <w:p w14:paraId="270C4586">
      <w:pPr>
        <w:keepNext w:val="0"/>
        <w:keepLines w:val="0"/>
        <w:pageBreakBefore w:val="0"/>
        <w:widowControl w:val="0"/>
        <w:kinsoku/>
        <w:overflowPunct/>
        <w:topLinePunct/>
        <w:bidi w:val="0"/>
        <w:ind w:firstLine="482"/>
        <w:jc w:val="center"/>
        <w:rPr>
          <w:b/>
          <w:sz w:val="30"/>
          <w:szCs w:val="30"/>
          <w:highlight w:val="none"/>
        </w:rPr>
      </w:pPr>
      <w:r>
        <w:rPr>
          <w:b/>
          <w:sz w:val="24"/>
          <w:highlight w:val="none"/>
        </w:rPr>
        <w:br w:type="page"/>
      </w:r>
      <w:r>
        <w:rPr>
          <w:b/>
          <w:sz w:val="30"/>
          <w:szCs w:val="30"/>
          <w:highlight w:val="none"/>
        </w:rPr>
        <w:t>投诉书制作说明</w:t>
      </w:r>
    </w:p>
    <w:p w14:paraId="056A7086">
      <w:pPr>
        <w:keepNext w:val="0"/>
        <w:keepLines w:val="0"/>
        <w:pageBreakBefore w:val="0"/>
        <w:widowControl w:val="0"/>
        <w:kinsoku/>
        <w:overflowPunct/>
        <w:topLinePunct/>
        <w:bidi w:val="0"/>
        <w:ind w:firstLine="482"/>
        <w:rPr>
          <w:b/>
          <w:sz w:val="24"/>
          <w:highlight w:val="none"/>
        </w:rPr>
      </w:pPr>
    </w:p>
    <w:p w14:paraId="142781B4">
      <w:pPr>
        <w:keepNext w:val="0"/>
        <w:keepLines w:val="0"/>
        <w:pageBreakBefore w:val="0"/>
        <w:widowControl w:val="0"/>
        <w:kinsoku/>
        <w:overflowPunct/>
        <w:topLinePunct/>
        <w:bidi w:val="0"/>
        <w:spacing w:line="360" w:lineRule="auto"/>
        <w:ind w:firstLine="480" w:firstLineChars="200"/>
        <w:rPr>
          <w:kern w:val="0"/>
          <w:sz w:val="24"/>
          <w:highlight w:val="none"/>
        </w:rPr>
      </w:pPr>
      <w:r>
        <w:rPr>
          <w:sz w:val="24"/>
          <w:highlight w:val="none"/>
        </w:rPr>
        <w:t>1.投诉人提起投诉时，应当提交投诉书和必要的证明材料，并按照被投诉人和与投诉事项有关的</w:t>
      </w:r>
      <w:r>
        <w:rPr>
          <w:rFonts w:hint="eastAsia"/>
          <w:sz w:val="24"/>
          <w:highlight w:val="none"/>
        </w:rPr>
        <w:t>投标人</w:t>
      </w:r>
      <w:r>
        <w:rPr>
          <w:sz w:val="24"/>
          <w:highlight w:val="none"/>
        </w:rPr>
        <w:t>数量提供投诉书副本。</w:t>
      </w:r>
    </w:p>
    <w:p w14:paraId="54CF3A1C">
      <w:pPr>
        <w:keepNext w:val="0"/>
        <w:keepLines w:val="0"/>
        <w:pageBreakBefore w:val="0"/>
        <w:widowControl w:val="0"/>
        <w:kinsoku/>
        <w:overflowPunct/>
        <w:topLinePunct/>
        <w:bidi w:val="0"/>
        <w:spacing w:line="360" w:lineRule="auto"/>
        <w:ind w:firstLine="480" w:firstLineChars="200"/>
        <w:jc w:val="left"/>
        <w:rPr>
          <w:kern w:val="0"/>
          <w:sz w:val="24"/>
          <w:highlight w:val="none"/>
        </w:rPr>
      </w:pPr>
      <w:r>
        <w:rPr>
          <w:sz w:val="24"/>
          <w:highlight w:val="none"/>
        </w:rPr>
        <w:t>2.投诉人若委托代理人进行投诉的，投诉书应按照要求列明“授权代表”的有关内容，并在附件中提交由</w:t>
      </w:r>
      <w:r>
        <w:rPr>
          <w:kern w:val="0"/>
          <w:sz w:val="24"/>
          <w:highlight w:val="none"/>
        </w:rPr>
        <w:t>投诉人签署的授权委托书。授权委托书应当载明代理人的姓名或者名称、代理事项、具体权限、期限和相关事项。</w:t>
      </w:r>
    </w:p>
    <w:p w14:paraId="3729BBAE">
      <w:pPr>
        <w:keepNext w:val="0"/>
        <w:keepLines w:val="0"/>
        <w:pageBreakBefore w:val="0"/>
        <w:widowControl w:val="0"/>
        <w:kinsoku/>
        <w:overflowPunct/>
        <w:topLinePunct/>
        <w:bidi w:val="0"/>
        <w:spacing w:line="360" w:lineRule="auto"/>
        <w:ind w:firstLine="480" w:firstLineChars="200"/>
        <w:jc w:val="left"/>
        <w:rPr>
          <w:sz w:val="24"/>
          <w:highlight w:val="none"/>
        </w:rPr>
      </w:pPr>
      <w:r>
        <w:rPr>
          <w:sz w:val="24"/>
          <w:highlight w:val="none"/>
        </w:rPr>
        <w:t>3.投诉人若对项目的某一分包进行投诉，投诉书应列明具体分包号。</w:t>
      </w:r>
    </w:p>
    <w:p w14:paraId="4DD64380">
      <w:pPr>
        <w:keepNext w:val="0"/>
        <w:keepLines w:val="0"/>
        <w:pageBreakBefore w:val="0"/>
        <w:widowControl w:val="0"/>
        <w:kinsoku/>
        <w:overflowPunct/>
        <w:topLinePunct/>
        <w:bidi w:val="0"/>
        <w:spacing w:line="360" w:lineRule="auto"/>
        <w:ind w:firstLine="480" w:firstLineChars="200"/>
        <w:jc w:val="left"/>
        <w:rPr>
          <w:sz w:val="24"/>
          <w:highlight w:val="none"/>
        </w:rPr>
      </w:pPr>
      <w:r>
        <w:rPr>
          <w:sz w:val="24"/>
          <w:highlight w:val="none"/>
        </w:rPr>
        <w:t>4.投诉书应简要列明质疑事项，质疑函、质疑答复等作为附件材料提供。</w:t>
      </w:r>
    </w:p>
    <w:p w14:paraId="57307680">
      <w:pPr>
        <w:keepNext w:val="0"/>
        <w:keepLines w:val="0"/>
        <w:pageBreakBefore w:val="0"/>
        <w:widowControl w:val="0"/>
        <w:kinsoku/>
        <w:overflowPunct/>
        <w:topLinePunct/>
        <w:bidi w:val="0"/>
        <w:spacing w:line="360" w:lineRule="auto"/>
        <w:ind w:firstLine="480" w:firstLineChars="200"/>
        <w:jc w:val="left"/>
        <w:rPr>
          <w:sz w:val="24"/>
          <w:highlight w:val="none"/>
        </w:rPr>
      </w:pPr>
      <w:r>
        <w:rPr>
          <w:sz w:val="24"/>
          <w:highlight w:val="none"/>
        </w:rPr>
        <w:t>5.投诉书的投诉事项应具体、明确，并有必要的事实依据和法律依据。</w:t>
      </w:r>
    </w:p>
    <w:p w14:paraId="0CD560EB">
      <w:pPr>
        <w:keepNext w:val="0"/>
        <w:keepLines w:val="0"/>
        <w:pageBreakBefore w:val="0"/>
        <w:widowControl w:val="0"/>
        <w:kinsoku/>
        <w:overflowPunct/>
        <w:topLinePunct/>
        <w:bidi w:val="0"/>
        <w:spacing w:line="360" w:lineRule="auto"/>
        <w:ind w:firstLine="480" w:firstLineChars="200"/>
        <w:jc w:val="left"/>
        <w:rPr>
          <w:sz w:val="24"/>
          <w:highlight w:val="none"/>
        </w:rPr>
      </w:pPr>
      <w:r>
        <w:rPr>
          <w:sz w:val="24"/>
          <w:highlight w:val="none"/>
        </w:rPr>
        <w:t>6.投诉书的投诉请求应与投诉事项相关。</w:t>
      </w:r>
    </w:p>
    <w:p w14:paraId="69619D68">
      <w:pPr>
        <w:pStyle w:val="34"/>
        <w:keepNext w:val="0"/>
        <w:keepLines w:val="0"/>
        <w:pageBreakBefore w:val="0"/>
        <w:widowControl w:val="0"/>
        <w:kinsoku/>
        <w:overflowPunct/>
        <w:bidi w:val="0"/>
        <w:spacing w:line="360" w:lineRule="auto"/>
        <w:jc w:val="left"/>
        <w:rPr>
          <w:rFonts w:cs="宋体"/>
          <w:color w:val="000000" w:themeColor="text1"/>
          <w:sz w:val="24"/>
          <w:szCs w:val="24"/>
          <w:highlight w:val="none"/>
          <w14:textFill>
            <w14:solidFill>
              <w14:schemeClr w14:val="tx1"/>
            </w14:solidFill>
          </w14:textFill>
        </w:rPr>
      </w:pPr>
      <w:r>
        <w:rPr>
          <w:sz w:val="24"/>
          <w:highlight w:val="none"/>
        </w:rPr>
        <w:t>7.投诉人为自然人的，投诉书应当由本人签字；投诉人为法人或者其他组织的，投诉书应当由法定代表人、主要负责人，或者其授权代表签字或者盖章，并加盖公章。</w:t>
      </w:r>
    </w:p>
    <w:sectPr>
      <w:headerReference r:id="rId4" w:type="default"/>
      <w:footerReference r:id="rId5" w:type="default"/>
      <w:pgSz w:w="11906" w:h="16838"/>
      <w:pgMar w:top="1418" w:right="1418" w:bottom="1418" w:left="1418" w:header="851" w:footer="992" w:gutter="0"/>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FangSong_GB2312">
    <w:altName w:val="仿宋"/>
    <w:panose1 w:val="020106090300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0431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C632">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B5C5B">
                          <w:pPr>
                            <w:pStyle w:val="15"/>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FB5C5B">
                    <w:pPr>
                      <w:pStyle w:val="15"/>
                    </w:pPr>
                    <w:r>
                      <w:fldChar w:fldCharType="begin"/>
                    </w:r>
                    <w:r>
                      <w:instrText xml:space="preserve"> PAGE  \* MERGEFORMAT </w:instrText>
                    </w:r>
                    <w:r>
                      <w:fldChar w:fldCharType="separate"/>
                    </w:r>
                    <w:r>
                      <w:t>82</w:t>
                    </w:r>
                    <w:r>
                      <w:fldChar w:fldCharType="end"/>
                    </w:r>
                  </w:p>
                </w:txbxContent>
              </v:textbox>
            </v:shape>
          </w:pict>
        </mc:Fallback>
      </mc:AlternateContent>
    </w:r>
  </w:p>
  <w:p w14:paraId="2C93E03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6D52">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06718"/>
    <w:multiLevelType w:val="multilevel"/>
    <w:tmpl w:val="1C506718"/>
    <w:lvl w:ilvl="0" w:tentative="0">
      <w:start w:val="1"/>
      <w:numFmt w:val="chineseCountingThousand"/>
      <w:pStyle w:val="3"/>
      <w:lvlText w:val="（%1）"/>
      <w:lvlJc w:val="left"/>
      <w:pPr>
        <w:ind w:left="0" w:firstLine="0"/>
      </w:pPr>
    </w:lvl>
    <w:lvl w:ilvl="1" w:tentative="0">
      <w:start w:val="1"/>
      <w:numFmt w:val="decimal"/>
      <w:lvlText w:val="%2%1."/>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0A35E31"/>
    <w:multiLevelType w:val="multilevel"/>
    <w:tmpl w:val="70A35E31"/>
    <w:lvl w:ilvl="0" w:tentative="0">
      <w:start w:val="1"/>
      <w:numFmt w:val="decimal"/>
      <w:pStyle w:val="42"/>
      <w:lvlText w:val="(%1)"/>
      <w:lvlJc w:val="left"/>
      <w:pPr>
        <w:ind w:left="440" w:hanging="440"/>
      </w:pPr>
      <w:rPr>
        <w:rFonts w:hint="default" w:ascii="Times New Roman" w:hAnsi="Times New Roman" w:eastAsia="宋体"/>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ZTM1YmMyYmRhZjdlM2NiZmVlNGQ5MjVjOGZhYmEifQ=="/>
  </w:docVars>
  <w:rsids>
    <w:rsidRoot w:val="07AE3EE4"/>
    <w:rsid w:val="0001097F"/>
    <w:rsid w:val="00024984"/>
    <w:rsid w:val="00040B44"/>
    <w:rsid w:val="00043D2C"/>
    <w:rsid w:val="000753CA"/>
    <w:rsid w:val="0008082A"/>
    <w:rsid w:val="000B2716"/>
    <w:rsid w:val="000B51CA"/>
    <w:rsid w:val="000C5E77"/>
    <w:rsid w:val="000E23F4"/>
    <w:rsid w:val="000F0AF2"/>
    <w:rsid w:val="000F1690"/>
    <w:rsid w:val="000F6FA5"/>
    <w:rsid w:val="001236E6"/>
    <w:rsid w:val="00130542"/>
    <w:rsid w:val="001341FE"/>
    <w:rsid w:val="001438CF"/>
    <w:rsid w:val="00145AEA"/>
    <w:rsid w:val="00161A2D"/>
    <w:rsid w:val="0016347F"/>
    <w:rsid w:val="00170B29"/>
    <w:rsid w:val="00173F93"/>
    <w:rsid w:val="001754C5"/>
    <w:rsid w:val="0019281D"/>
    <w:rsid w:val="001A0B74"/>
    <w:rsid w:val="001A7EA9"/>
    <w:rsid w:val="001B7EE1"/>
    <w:rsid w:val="001C4E20"/>
    <w:rsid w:val="001F1013"/>
    <w:rsid w:val="00202796"/>
    <w:rsid w:val="002349E9"/>
    <w:rsid w:val="002439F2"/>
    <w:rsid w:val="00246090"/>
    <w:rsid w:val="00282DE9"/>
    <w:rsid w:val="00287C49"/>
    <w:rsid w:val="002B18A8"/>
    <w:rsid w:val="002D0FA9"/>
    <w:rsid w:val="002D171A"/>
    <w:rsid w:val="002D65D1"/>
    <w:rsid w:val="002E7E82"/>
    <w:rsid w:val="002F3058"/>
    <w:rsid w:val="0031576E"/>
    <w:rsid w:val="003169B8"/>
    <w:rsid w:val="00330AF3"/>
    <w:rsid w:val="00333567"/>
    <w:rsid w:val="003351A2"/>
    <w:rsid w:val="0035135A"/>
    <w:rsid w:val="00351D8A"/>
    <w:rsid w:val="003671A6"/>
    <w:rsid w:val="00374EBF"/>
    <w:rsid w:val="00376019"/>
    <w:rsid w:val="003768E6"/>
    <w:rsid w:val="003815F3"/>
    <w:rsid w:val="003B2E7E"/>
    <w:rsid w:val="003D1155"/>
    <w:rsid w:val="003D5B6D"/>
    <w:rsid w:val="003D7D7D"/>
    <w:rsid w:val="003F026B"/>
    <w:rsid w:val="003F46AE"/>
    <w:rsid w:val="003F6C70"/>
    <w:rsid w:val="0040571B"/>
    <w:rsid w:val="00415C93"/>
    <w:rsid w:val="004262FD"/>
    <w:rsid w:val="00433DB5"/>
    <w:rsid w:val="004400A9"/>
    <w:rsid w:val="00440180"/>
    <w:rsid w:val="0044772F"/>
    <w:rsid w:val="00451F41"/>
    <w:rsid w:val="0045626A"/>
    <w:rsid w:val="004702C7"/>
    <w:rsid w:val="0047115F"/>
    <w:rsid w:val="004774F2"/>
    <w:rsid w:val="004818D5"/>
    <w:rsid w:val="004946CF"/>
    <w:rsid w:val="004A05EA"/>
    <w:rsid w:val="004A346D"/>
    <w:rsid w:val="004A36FF"/>
    <w:rsid w:val="004B2610"/>
    <w:rsid w:val="004C351B"/>
    <w:rsid w:val="004D1EE3"/>
    <w:rsid w:val="004E2F2C"/>
    <w:rsid w:val="004F5F53"/>
    <w:rsid w:val="00516BBB"/>
    <w:rsid w:val="00525938"/>
    <w:rsid w:val="00526495"/>
    <w:rsid w:val="005309E2"/>
    <w:rsid w:val="00540DF5"/>
    <w:rsid w:val="00545FCA"/>
    <w:rsid w:val="00547E7E"/>
    <w:rsid w:val="005535DF"/>
    <w:rsid w:val="00553C8B"/>
    <w:rsid w:val="005568F1"/>
    <w:rsid w:val="00574F8C"/>
    <w:rsid w:val="005854A8"/>
    <w:rsid w:val="005A6E2E"/>
    <w:rsid w:val="005E34BE"/>
    <w:rsid w:val="005E3B98"/>
    <w:rsid w:val="005F6AA5"/>
    <w:rsid w:val="00610C7C"/>
    <w:rsid w:val="00615485"/>
    <w:rsid w:val="00616F3E"/>
    <w:rsid w:val="00623A1F"/>
    <w:rsid w:val="0064002E"/>
    <w:rsid w:val="00651D4C"/>
    <w:rsid w:val="00652D73"/>
    <w:rsid w:val="006563A6"/>
    <w:rsid w:val="00656980"/>
    <w:rsid w:val="006715C1"/>
    <w:rsid w:val="00683469"/>
    <w:rsid w:val="00684730"/>
    <w:rsid w:val="006B045E"/>
    <w:rsid w:val="006C4A5C"/>
    <w:rsid w:val="006D0690"/>
    <w:rsid w:val="006E626E"/>
    <w:rsid w:val="006F07C7"/>
    <w:rsid w:val="0070117F"/>
    <w:rsid w:val="00707AAD"/>
    <w:rsid w:val="00725401"/>
    <w:rsid w:val="00734519"/>
    <w:rsid w:val="00746F33"/>
    <w:rsid w:val="0075194C"/>
    <w:rsid w:val="0075575F"/>
    <w:rsid w:val="00775A2E"/>
    <w:rsid w:val="00777D51"/>
    <w:rsid w:val="007824EF"/>
    <w:rsid w:val="007A1813"/>
    <w:rsid w:val="007C7102"/>
    <w:rsid w:val="007F2C35"/>
    <w:rsid w:val="007F7913"/>
    <w:rsid w:val="008150A3"/>
    <w:rsid w:val="0084643F"/>
    <w:rsid w:val="008506FE"/>
    <w:rsid w:val="008532B0"/>
    <w:rsid w:val="00881D0A"/>
    <w:rsid w:val="0088522F"/>
    <w:rsid w:val="00886CA6"/>
    <w:rsid w:val="008958B9"/>
    <w:rsid w:val="008C1606"/>
    <w:rsid w:val="008C1BBC"/>
    <w:rsid w:val="008D10BB"/>
    <w:rsid w:val="008E0AF7"/>
    <w:rsid w:val="008F048E"/>
    <w:rsid w:val="008F1177"/>
    <w:rsid w:val="008F666B"/>
    <w:rsid w:val="008F78D1"/>
    <w:rsid w:val="00920CA7"/>
    <w:rsid w:val="00926A4E"/>
    <w:rsid w:val="0094455C"/>
    <w:rsid w:val="00946673"/>
    <w:rsid w:val="0095474F"/>
    <w:rsid w:val="009619F2"/>
    <w:rsid w:val="009673B0"/>
    <w:rsid w:val="00972DE0"/>
    <w:rsid w:val="00990370"/>
    <w:rsid w:val="00990AFB"/>
    <w:rsid w:val="00992041"/>
    <w:rsid w:val="00994319"/>
    <w:rsid w:val="00994BF2"/>
    <w:rsid w:val="009A72A6"/>
    <w:rsid w:val="009C31FE"/>
    <w:rsid w:val="009E5823"/>
    <w:rsid w:val="009E6646"/>
    <w:rsid w:val="009F4243"/>
    <w:rsid w:val="009F5847"/>
    <w:rsid w:val="00A339C4"/>
    <w:rsid w:val="00A33F5D"/>
    <w:rsid w:val="00A3683A"/>
    <w:rsid w:val="00A426F4"/>
    <w:rsid w:val="00A47CED"/>
    <w:rsid w:val="00A60772"/>
    <w:rsid w:val="00A719C9"/>
    <w:rsid w:val="00A772E7"/>
    <w:rsid w:val="00A8310F"/>
    <w:rsid w:val="00A86BC6"/>
    <w:rsid w:val="00A87B9C"/>
    <w:rsid w:val="00AA60DD"/>
    <w:rsid w:val="00AB2AAA"/>
    <w:rsid w:val="00AB7850"/>
    <w:rsid w:val="00AC2DC5"/>
    <w:rsid w:val="00AC327D"/>
    <w:rsid w:val="00AC60AE"/>
    <w:rsid w:val="00AD7E91"/>
    <w:rsid w:val="00AE13E0"/>
    <w:rsid w:val="00AE621A"/>
    <w:rsid w:val="00B004B7"/>
    <w:rsid w:val="00B00BD6"/>
    <w:rsid w:val="00B03C09"/>
    <w:rsid w:val="00B17441"/>
    <w:rsid w:val="00B362F9"/>
    <w:rsid w:val="00B51909"/>
    <w:rsid w:val="00B76DBD"/>
    <w:rsid w:val="00B7767A"/>
    <w:rsid w:val="00B83747"/>
    <w:rsid w:val="00B937ED"/>
    <w:rsid w:val="00BB3CC0"/>
    <w:rsid w:val="00BB7B0B"/>
    <w:rsid w:val="00BC1CC1"/>
    <w:rsid w:val="00BD0817"/>
    <w:rsid w:val="00BD0955"/>
    <w:rsid w:val="00BD7D73"/>
    <w:rsid w:val="00BE1E5C"/>
    <w:rsid w:val="00BF067D"/>
    <w:rsid w:val="00BF3509"/>
    <w:rsid w:val="00C0745E"/>
    <w:rsid w:val="00C130D8"/>
    <w:rsid w:val="00C17C87"/>
    <w:rsid w:val="00C26838"/>
    <w:rsid w:val="00C37A80"/>
    <w:rsid w:val="00C666CB"/>
    <w:rsid w:val="00C70ECE"/>
    <w:rsid w:val="00C7763F"/>
    <w:rsid w:val="00C91E37"/>
    <w:rsid w:val="00D00DBF"/>
    <w:rsid w:val="00D02F80"/>
    <w:rsid w:val="00D062C9"/>
    <w:rsid w:val="00D06D94"/>
    <w:rsid w:val="00D1647C"/>
    <w:rsid w:val="00D477BF"/>
    <w:rsid w:val="00D51E9C"/>
    <w:rsid w:val="00D525B3"/>
    <w:rsid w:val="00D5416E"/>
    <w:rsid w:val="00D56143"/>
    <w:rsid w:val="00D67EE4"/>
    <w:rsid w:val="00D77F2E"/>
    <w:rsid w:val="00D836AC"/>
    <w:rsid w:val="00D84E06"/>
    <w:rsid w:val="00D9167F"/>
    <w:rsid w:val="00D934D2"/>
    <w:rsid w:val="00D97AC3"/>
    <w:rsid w:val="00DA5B33"/>
    <w:rsid w:val="00DB419E"/>
    <w:rsid w:val="00DB71EB"/>
    <w:rsid w:val="00DD2C17"/>
    <w:rsid w:val="00DD657C"/>
    <w:rsid w:val="00DF229F"/>
    <w:rsid w:val="00DF3697"/>
    <w:rsid w:val="00E079E8"/>
    <w:rsid w:val="00E10817"/>
    <w:rsid w:val="00E34A20"/>
    <w:rsid w:val="00E4552D"/>
    <w:rsid w:val="00E46584"/>
    <w:rsid w:val="00E473FE"/>
    <w:rsid w:val="00E5588C"/>
    <w:rsid w:val="00E5647D"/>
    <w:rsid w:val="00E60F52"/>
    <w:rsid w:val="00E67EDA"/>
    <w:rsid w:val="00E73F4F"/>
    <w:rsid w:val="00E9538F"/>
    <w:rsid w:val="00E960E1"/>
    <w:rsid w:val="00EA5852"/>
    <w:rsid w:val="00EC6278"/>
    <w:rsid w:val="00EE146C"/>
    <w:rsid w:val="00EF569D"/>
    <w:rsid w:val="00F036C3"/>
    <w:rsid w:val="00F06813"/>
    <w:rsid w:val="00F10CBF"/>
    <w:rsid w:val="00F253A1"/>
    <w:rsid w:val="00F26A25"/>
    <w:rsid w:val="00F3108B"/>
    <w:rsid w:val="00F330C1"/>
    <w:rsid w:val="00F35EE8"/>
    <w:rsid w:val="00F4596E"/>
    <w:rsid w:val="00F46165"/>
    <w:rsid w:val="00F46B88"/>
    <w:rsid w:val="00F5170B"/>
    <w:rsid w:val="00F83B46"/>
    <w:rsid w:val="00FA1686"/>
    <w:rsid w:val="00FA71E5"/>
    <w:rsid w:val="00FB0BBA"/>
    <w:rsid w:val="00FB1A64"/>
    <w:rsid w:val="00FC5771"/>
    <w:rsid w:val="00FE45C8"/>
    <w:rsid w:val="00FF39CC"/>
    <w:rsid w:val="01363832"/>
    <w:rsid w:val="0140783C"/>
    <w:rsid w:val="01D54B64"/>
    <w:rsid w:val="020C3FF2"/>
    <w:rsid w:val="020C4532"/>
    <w:rsid w:val="024517A8"/>
    <w:rsid w:val="02D212D8"/>
    <w:rsid w:val="02DD13F2"/>
    <w:rsid w:val="030F3530"/>
    <w:rsid w:val="032A1C27"/>
    <w:rsid w:val="0371547A"/>
    <w:rsid w:val="038F4955"/>
    <w:rsid w:val="039B7A16"/>
    <w:rsid w:val="04351CA5"/>
    <w:rsid w:val="043B74A0"/>
    <w:rsid w:val="04622F07"/>
    <w:rsid w:val="04695C6C"/>
    <w:rsid w:val="046E3819"/>
    <w:rsid w:val="049036F7"/>
    <w:rsid w:val="04A71B2E"/>
    <w:rsid w:val="04B263C5"/>
    <w:rsid w:val="05524086"/>
    <w:rsid w:val="057812CE"/>
    <w:rsid w:val="05985821"/>
    <w:rsid w:val="06283734"/>
    <w:rsid w:val="078F3ADC"/>
    <w:rsid w:val="07AE3EE4"/>
    <w:rsid w:val="07AF3996"/>
    <w:rsid w:val="07C80EFB"/>
    <w:rsid w:val="07C961D1"/>
    <w:rsid w:val="07E5108A"/>
    <w:rsid w:val="080C703A"/>
    <w:rsid w:val="08943B7F"/>
    <w:rsid w:val="08AB34E7"/>
    <w:rsid w:val="08DA7138"/>
    <w:rsid w:val="08EB4EA1"/>
    <w:rsid w:val="090B72F2"/>
    <w:rsid w:val="09181829"/>
    <w:rsid w:val="09572537"/>
    <w:rsid w:val="09902C6B"/>
    <w:rsid w:val="09C82891"/>
    <w:rsid w:val="0A237779"/>
    <w:rsid w:val="0A7113D6"/>
    <w:rsid w:val="0A9E0C56"/>
    <w:rsid w:val="0A9F4195"/>
    <w:rsid w:val="0B6B051B"/>
    <w:rsid w:val="0B720F24"/>
    <w:rsid w:val="0BE2618D"/>
    <w:rsid w:val="0C3B4ABC"/>
    <w:rsid w:val="0CA63264"/>
    <w:rsid w:val="0CB641E8"/>
    <w:rsid w:val="0CC71781"/>
    <w:rsid w:val="0CD2622C"/>
    <w:rsid w:val="0CD910AD"/>
    <w:rsid w:val="0CF01C09"/>
    <w:rsid w:val="0D0F1966"/>
    <w:rsid w:val="0DA5675A"/>
    <w:rsid w:val="0DBF68FD"/>
    <w:rsid w:val="0DF65820"/>
    <w:rsid w:val="0DFF7F3B"/>
    <w:rsid w:val="0E012A71"/>
    <w:rsid w:val="0E0A5DCA"/>
    <w:rsid w:val="0E2E76F1"/>
    <w:rsid w:val="0E60401B"/>
    <w:rsid w:val="0EBC1CFA"/>
    <w:rsid w:val="0F150BE0"/>
    <w:rsid w:val="0F1C7F36"/>
    <w:rsid w:val="0F3D7EC8"/>
    <w:rsid w:val="0FA67D74"/>
    <w:rsid w:val="0FF46D31"/>
    <w:rsid w:val="10417D39"/>
    <w:rsid w:val="109C64BB"/>
    <w:rsid w:val="10A72598"/>
    <w:rsid w:val="1129570C"/>
    <w:rsid w:val="112B711B"/>
    <w:rsid w:val="115E0935"/>
    <w:rsid w:val="118029A2"/>
    <w:rsid w:val="11BD6B15"/>
    <w:rsid w:val="123F3D41"/>
    <w:rsid w:val="13135DE5"/>
    <w:rsid w:val="131B2827"/>
    <w:rsid w:val="138278A7"/>
    <w:rsid w:val="13B474CB"/>
    <w:rsid w:val="13DF731C"/>
    <w:rsid w:val="14242E0D"/>
    <w:rsid w:val="14313AB6"/>
    <w:rsid w:val="148C67FF"/>
    <w:rsid w:val="14C8561E"/>
    <w:rsid w:val="14FC21E4"/>
    <w:rsid w:val="15115C90"/>
    <w:rsid w:val="154F428B"/>
    <w:rsid w:val="15520003"/>
    <w:rsid w:val="15575EBB"/>
    <w:rsid w:val="155C5937"/>
    <w:rsid w:val="156A0E93"/>
    <w:rsid w:val="158E72E0"/>
    <w:rsid w:val="15981FD7"/>
    <w:rsid w:val="15CC4FDF"/>
    <w:rsid w:val="15D77D78"/>
    <w:rsid w:val="15EC6050"/>
    <w:rsid w:val="15F26272"/>
    <w:rsid w:val="165D33C4"/>
    <w:rsid w:val="16F058BF"/>
    <w:rsid w:val="17306E6C"/>
    <w:rsid w:val="173C4B1A"/>
    <w:rsid w:val="17AD5A18"/>
    <w:rsid w:val="18314152"/>
    <w:rsid w:val="183D0B4A"/>
    <w:rsid w:val="18861D30"/>
    <w:rsid w:val="1886712B"/>
    <w:rsid w:val="188820AC"/>
    <w:rsid w:val="18975BE4"/>
    <w:rsid w:val="18A70716"/>
    <w:rsid w:val="192E38A2"/>
    <w:rsid w:val="193B433D"/>
    <w:rsid w:val="1946588D"/>
    <w:rsid w:val="197C2842"/>
    <w:rsid w:val="198033E4"/>
    <w:rsid w:val="199B27AF"/>
    <w:rsid w:val="19A2414E"/>
    <w:rsid w:val="19A83F2E"/>
    <w:rsid w:val="19B36563"/>
    <w:rsid w:val="1A5D1977"/>
    <w:rsid w:val="1AAD2630"/>
    <w:rsid w:val="1ABE0B0A"/>
    <w:rsid w:val="1AD31881"/>
    <w:rsid w:val="1B2304CB"/>
    <w:rsid w:val="1B950C9D"/>
    <w:rsid w:val="1BC7354C"/>
    <w:rsid w:val="1BEA5591"/>
    <w:rsid w:val="1C294ACB"/>
    <w:rsid w:val="1C2C4571"/>
    <w:rsid w:val="1C351FA0"/>
    <w:rsid w:val="1C366868"/>
    <w:rsid w:val="1C5D1697"/>
    <w:rsid w:val="1CF6353B"/>
    <w:rsid w:val="1CF91C94"/>
    <w:rsid w:val="1D310127"/>
    <w:rsid w:val="1D884F5D"/>
    <w:rsid w:val="1D8D60CF"/>
    <w:rsid w:val="1DA64EDB"/>
    <w:rsid w:val="1DAA557C"/>
    <w:rsid w:val="1DC206B4"/>
    <w:rsid w:val="1DEA52D0"/>
    <w:rsid w:val="1E087E4C"/>
    <w:rsid w:val="1E724E93"/>
    <w:rsid w:val="1EA65471"/>
    <w:rsid w:val="1EB560FD"/>
    <w:rsid w:val="1EDE0263"/>
    <w:rsid w:val="1EE241F9"/>
    <w:rsid w:val="1F187765"/>
    <w:rsid w:val="1F235E43"/>
    <w:rsid w:val="1F764F89"/>
    <w:rsid w:val="1FF56A2F"/>
    <w:rsid w:val="1FFC753C"/>
    <w:rsid w:val="20104D96"/>
    <w:rsid w:val="20444E4F"/>
    <w:rsid w:val="204C04C4"/>
    <w:rsid w:val="205E7769"/>
    <w:rsid w:val="207F3CF6"/>
    <w:rsid w:val="20812427"/>
    <w:rsid w:val="20FD332F"/>
    <w:rsid w:val="210E6C71"/>
    <w:rsid w:val="214E1FBC"/>
    <w:rsid w:val="2157360A"/>
    <w:rsid w:val="21595216"/>
    <w:rsid w:val="21675FC1"/>
    <w:rsid w:val="21FC7672"/>
    <w:rsid w:val="221F77CA"/>
    <w:rsid w:val="222A0391"/>
    <w:rsid w:val="22431452"/>
    <w:rsid w:val="22482CBD"/>
    <w:rsid w:val="226338A3"/>
    <w:rsid w:val="2288155B"/>
    <w:rsid w:val="22B24A96"/>
    <w:rsid w:val="22B95948"/>
    <w:rsid w:val="230841CA"/>
    <w:rsid w:val="230D44E8"/>
    <w:rsid w:val="23323779"/>
    <w:rsid w:val="23474F72"/>
    <w:rsid w:val="235356C5"/>
    <w:rsid w:val="236218A8"/>
    <w:rsid w:val="239B10BB"/>
    <w:rsid w:val="239D7097"/>
    <w:rsid w:val="23B427D8"/>
    <w:rsid w:val="23F863DD"/>
    <w:rsid w:val="24054FF8"/>
    <w:rsid w:val="240B41F2"/>
    <w:rsid w:val="245A04CE"/>
    <w:rsid w:val="245B6F27"/>
    <w:rsid w:val="247012D0"/>
    <w:rsid w:val="24A375CC"/>
    <w:rsid w:val="24BE74B6"/>
    <w:rsid w:val="25090731"/>
    <w:rsid w:val="25120EDC"/>
    <w:rsid w:val="25167915"/>
    <w:rsid w:val="251B6927"/>
    <w:rsid w:val="254F38C5"/>
    <w:rsid w:val="25E1520A"/>
    <w:rsid w:val="25E43CC2"/>
    <w:rsid w:val="26394109"/>
    <w:rsid w:val="26603156"/>
    <w:rsid w:val="269D1E96"/>
    <w:rsid w:val="26A25291"/>
    <w:rsid w:val="26B231C0"/>
    <w:rsid w:val="26C2328E"/>
    <w:rsid w:val="26CB1012"/>
    <w:rsid w:val="26E36D60"/>
    <w:rsid w:val="27A70129"/>
    <w:rsid w:val="27E52BFD"/>
    <w:rsid w:val="27F4705E"/>
    <w:rsid w:val="28445F24"/>
    <w:rsid w:val="286F2FA1"/>
    <w:rsid w:val="28B112DC"/>
    <w:rsid w:val="29064A71"/>
    <w:rsid w:val="291122AA"/>
    <w:rsid w:val="2916341D"/>
    <w:rsid w:val="291C70A5"/>
    <w:rsid w:val="294F35E7"/>
    <w:rsid w:val="295B1778"/>
    <w:rsid w:val="29634188"/>
    <w:rsid w:val="296C5632"/>
    <w:rsid w:val="298D6234"/>
    <w:rsid w:val="29AB27D5"/>
    <w:rsid w:val="29B8618C"/>
    <w:rsid w:val="29BF1E2F"/>
    <w:rsid w:val="29CF0264"/>
    <w:rsid w:val="29EE7006"/>
    <w:rsid w:val="2A0B0AA8"/>
    <w:rsid w:val="2A2C6C70"/>
    <w:rsid w:val="2A302823"/>
    <w:rsid w:val="2A6309D6"/>
    <w:rsid w:val="2A6D6369"/>
    <w:rsid w:val="2A720EF9"/>
    <w:rsid w:val="2AA47384"/>
    <w:rsid w:val="2ADD5419"/>
    <w:rsid w:val="2AF223BC"/>
    <w:rsid w:val="2AFF0E4C"/>
    <w:rsid w:val="2B147E30"/>
    <w:rsid w:val="2B300E7C"/>
    <w:rsid w:val="2B481888"/>
    <w:rsid w:val="2B757007"/>
    <w:rsid w:val="2BB3327D"/>
    <w:rsid w:val="2BE946E4"/>
    <w:rsid w:val="2C854620"/>
    <w:rsid w:val="2C9B261E"/>
    <w:rsid w:val="2CB063A3"/>
    <w:rsid w:val="2D204ED1"/>
    <w:rsid w:val="2D2222DE"/>
    <w:rsid w:val="2D3B5BE3"/>
    <w:rsid w:val="2D863EDD"/>
    <w:rsid w:val="2D957BDB"/>
    <w:rsid w:val="2D9B4590"/>
    <w:rsid w:val="2E3F759A"/>
    <w:rsid w:val="2E5A00BC"/>
    <w:rsid w:val="2E750704"/>
    <w:rsid w:val="2ED429F9"/>
    <w:rsid w:val="2EF0181A"/>
    <w:rsid w:val="2F374D6B"/>
    <w:rsid w:val="2F6A230C"/>
    <w:rsid w:val="2F8920EB"/>
    <w:rsid w:val="2F99381C"/>
    <w:rsid w:val="2FA90F83"/>
    <w:rsid w:val="2FBC149F"/>
    <w:rsid w:val="2FBE3E26"/>
    <w:rsid w:val="308F2273"/>
    <w:rsid w:val="30DA50E9"/>
    <w:rsid w:val="31017D45"/>
    <w:rsid w:val="316F5DC0"/>
    <w:rsid w:val="31A5117C"/>
    <w:rsid w:val="31A72F68"/>
    <w:rsid w:val="31AA6DF8"/>
    <w:rsid w:val="31BA1DBB"/>
    <w:rsid w:val="31D37177"/>
    <w:rsid w:val="31DD22B4"/>
    <w:rsid w:val="31F74C14"/>
    <w:rsid w:val="3236750D"/>
    <w:rsid w:val="32427031"/>
    <w:rsid w:val="328626B9"/>
    <w:rsid w:val="328912A2"/>
    <w:rsid w:val="32A0644D"/>
    <w:rsid w:val="333522E5"/>
    <w:rsid w:val="334D2336"/>
    <w:rsid w:val="334F397E"/>
    <w:rsid w:val="33CF4339"/>
    <w:rsid w:val="33F425AD"/>
    <w:rsid w:val="33FB1B8D"/>
    <w:rsid w:val="3412209E"/>
    <w:rsid w:val="343E5F1E"/>
    <w:rsid w:val="348240B1"/>
    <w:rsid w:val="34CB1E80"/>
    <w:rsid w:val="34F33640"/>
    <w:rsid w:val="350D0C35"/>
    <w:rsid w:val="357263F6"/>
    <w:rsid w:val="35774103"/>
    <w:rsid w:val="357F234A"/>
    <w:rsid w:val="35917DCF"/>
    <w:rsid w:val="35B87BED"/>
    <w:rsid w:val="35CD1307"/>
    <w:rsid w:val="36080591"/>
    <w:rsid w:val="3659773F"/>
    <w:rsid w:val="368A27D7"/>
    <w:rsid w:val="370945C1"/>
    <w:rsid w:val="37132DDB"/>
    <w:rsid w:val="372431A9"/>
    <w:rsid w:val="3756532C"/>
    <w:rsid w:val="375B171C"/>
    <w:rsid w:val="375C57E0"/>
    <w:rsid w:val="38605AD8"/>
    <w:rsid w:val="38AF3D4B"/>
    <w:rsid w:val="39243934"/>
    <w:rsid w:val="39475874"/>
    <w:rsid w:val="397B570E"/>
    <w:rsid w:val="399F1246"/>
    <w:rsid w:val="39B81D84"/>
    <w:rsid w:val="39C13A78"/>
    <w:rsid w:val="39F942C0"/>
    <w:rsid w:val="3A1E0383"/>
    <w:rsid w:val="3A443AD7"/>
    <w:rsid w:val="3A4E2999"/>
    <w:rsid w:val="3A9073CB"/>
    <w:rsid w:val="3AA726D7"/>
    <w:rsid w:val="3AAE056A"/>
    <w:rsid w:val="3AB46BCD"/>
    <w:rsid w:val="3AD830A3"/>
    <w:rsid w:val="3ADB44C6"/>
    <w:rsid w:val="3AE113B1"/>
    <w:rsid w:val="3AEF2CC1"/>
    <w:rsid w:val="3B083BE3"/>
    <w:rsid w:val="3B246063"/>
    <w:rsid w:val="3B312338"/>
    <w:rsid w:val="3B3237CF"/>
    <w:rsid w:val="3BA41246"/>
    <w:rsid w:val="3BC62A80"/>
    <w:rsid w:val="3C003E02"/>
    <w:rsid w:val="3C065483"/>
    <w:rsid w:val="3C08753D"/>
    <w:rsid w:val="3C125CC6"/>
    <w:rsid w:val="3C2F4ACA"/>
    <w:rsid w:val="3C3245BA"/>
    <w:rsid w:val="3C444FDC"/>
    <w:rsid w:val="3C65673D"/>
    <w:rsid w:val="3C662E76"/>
    <w:rsid w:val="3C74072E"/>
    <w:rsid w:val="3CBA010B"/>
    <w:rsid w:val="3CC66AB0"/>
    <w:rsid w:val="3CDC1812"/>
    <w:rsid w:val="3CE8111C"/>
    <w:rsid w:val="3CE94035"/>
    <w:rsid w:val="3D0D152A"/>
    <w:rsid w:val="3D221725"/>
    <w:rsid w:val="3D251C58"/>
    <w:rsid w:val="3D2F4655"/>
    <w:rsid w:val="3D3B4408"/>
    <w:rsid w:val="3D6360E5"/>
    <w:rsid w:val="3E2C25C0"/>
    <w:rsid w:val="3E3363C7"/>
    <w:rsid w:val="3E66054B"/>
    <w:rsid w:val="3E9055C8"/>
    <w:rsid w:val="3E9E50B4"/>
    <w:rsid w:val="3EED513D"/>
    <w:rsid w:val="3F257CAA"/>
    <w:rsid w:val="3F422D66"/>
    <w:rsid w:val="3F6D2CD8"/>
    <w:rsid w:val="3FA81690"/>
    <w:rsid w:val="3FBC6B7D"/>
    <w:rsid w:val="3FC9475C"/>
    <w:rsid w:val="3FF12096"/>
    <w:rsid w:val="4061721C"/>
    <w:rsid w:val="40C559FD"/>
    <w:rsid w:val="40DA47B5"/>
    <w:rsid w:val="40EA7211"/>
    <w:rsid w:val="410F49D4"/>
    <w:rsid w:val="411C4F2C"/>
    <w:rsid w:val="41262CC9"/>
    <w:rsid w:val="41432DC5"/>
    <w:rsid w:val="41592C89"/>
    <w:rsid w:val="415C1292"/>
    <w:rsid w:val="4184399F"/>
    <w:rsid w:val="41925FDE"/>
    <w:rsid w:val="41A27781"/>
    <w:rsid w:val="41A54E48"/>
    <w:rsid w:val="41C10209"/>
    <w:rsid w:val="41C64BD0"/>
    <w:rsid w:val="41D05755"/>
    <w:rsid w:val="41D2400B"/>
    <w:rsid w:val="41E212A8"/>
    <w:rsid w:val="41F87619"/>
    <w:rsid w:val="42032365"/>
    <w:rsid w:val="42500FB3"/>
    <w:rsid w:val="4276265D"/>
    <w:rsid w:val="42804160"/>
    <w:rsid w:val="42F04887"/>
    <w:rsid w:val="42F50B73"/>
    <w:rsid w:val="43275358"/>
    <w:rsid w:val="434075BC"/>
    <w:rsid w:val="43754DFD"/>
    <w:rsid w:val="4378135C"/>
    <w:rsid w:val="437B7670"/>
    <w:rsid w:val="438B6415"/>
    <w:rsid w:val="439D67BD"/>
    <w:rsid w:val="43A15B81"/>
    <w:rsid w:val="43B313EB"/>
    <w:rsid w:val="43DA0BC1"/>
    <w:rsid w:val="440974EA"/>
    <w:rsid w:val="44372E68"/>
    <w:rsid w:val="44405FC0"/>
    <w:rsid w:val="4455764E"/>
    <w:rsid w:val="447200CB"/>
    <w:rsid w:val="447325C8"/>
    <w:rsid w:val="44CC49D5"/>
    <w:rsid w:val="45064FAD"/>
    <w:rsid w:val="450B3BFA"/>
    <w:rsid w:val="45362927"/>
    <w:rsid w:val="45442192"/>
    <w:rsid w:val="45580419"/>
    <w:rsid w:val="45EC7F77"/>
    <w:rsid w:val="45F20916"/>
    <w:rsid w:val="46F02DE2"/>
    <w:rsid w:val="47266AC9"/>
    <w:rsid w:val="4799460D"/>
    <w:rsid w:val="47F26EC9"/>
    <w:rsid w:val="47F7394B"/>
    <w:rsid w:val="481704FC"/>
    <w:rsid w:val="4823125B"/>
    <w:rsid w:val="483536F3"/>
    <w:rsid w:val="48360F8E"/>
    <w:rsid w:val="486B1EB6"/>
    <w:rsid w:val="48733F90"/>
    <w:rsid w:val="489E2702"/>
    <w:rsid w:val="48B639FA"/>
    <w:rsid w:val="48BF2E52"/>
    <w:rsid w:val="48D41126"/>
    <w:rsid w:val="494E7123"/>
    <w:rsid w:val="495564C5"/>
    <w:rsid w:val="49D219AC"/>
    <w:rsid w:val="4A584BF6"/>
    <w:rsid w:val="4ABF3BE6"/>
    <w:rsid w:val="4AF97A1B"/>
    <w:rsid w:val="4B1F21AD"/>
    <w:rsid w:val="4B3018CD"/>
    <w:rsid w:val="4B4C75CE"/>
    <w:rsid w:val="4B9A5CD8"/>
    <w:rsid w:val="4BE63AA5"/>
    <w:rsid w:val="4C0D1AB5"/>
    <w:rsid w:val="4C4C4D36"/>
    <w:rsid w:val="4C507BE4"/>
    <w:rsid w:val="4C556BDC"/>
    <w:rsid w:val="4C6A38FC"/>
    <w:rsid w:val="4CA46E0E"/>
    <w:rsid w:val="4CE27CFA"/>
    <w:rsid w:val="4D775ABC"/>
    <w:rsid w:val="4E0F64E4"/>
    <w:rsid w:val="4E192EE4"/>
    <w:rsid w:val="4E465CA3"/>
    <w:rsid w:val="4E782E22"/>
    <w:rsid w:val="4E964534"/>
    <w:rsid w:val="4EA8502F"/>
    <w:rsid w:val="4EF30385"/>
    <w:rsid w:val="4F247744"/>
    <w:rsid w:val="4FD80B7D"/>
    <w:rsid w:val="4FDF63AF"/>
    <w:rsid w:val="4FEC63D6"/>
    <w:rsid w:val="504E6BA1"/>
    <w:rsid w:val="50870ECD"/>
    <w:rsid w:val="50A728A6"/>
    <w:rsid w:val="50D3721A"/>
    <w:rsid w:val="50EB451E"/>
    <w:rsid w:val="510F6A47"/>
    <w:rsid w:val="51120433"/>
    <w:rsid w:val="5141548E"/>
    <w:rsid w:val="519A04CE"/>
    <w:rsid w:val="52231707"/>
    <w:rsid w:val="5245718B"/>
    <w:rsid w:val="527C20CB"/>
    <w:rsid w:val="52996721"/>
    <w:rsid w:val="52A86F2C"/>
    <w:rsid w:val="52C245F2"/>
    <w:rsid w:val="52D65847"/>
    <w:rsid w:val="52FB2BFD"/>
    <w:rsid w:val="531E0E1F"/>
    <w:rsid w:val="535A0527"/>
    <w:rsid w:val="535B7AFB"/>
    <w:rsid w:val="537A0160"/>
    <w:rsid w:val="538171B8"/>
    <w:rsid w:val="53C658BC"/>
    <w:rsid w:val="541F321E"/>
    <w:rsid w:val="543E18F6"/>
    <w:rsid w:val="5446091F"/>
    <w:rsid w:val="54B64BC2"/>
    <w:rsid w:val="54D27F08"/>
    <w:rsid w:val="54D74CB2"/>
    <w:rsid w:val="55224D7B"/>
    <w:rsid w:val="554A0B87"/>
    <w:rsid w:val="554C3023"/>
    <w:rsid w:val="555753D0"/>
    <w:rsid w:val="55C0054D"/>
    <w:rsid w:val="561A25D7"/>
    <w:rsid w:val="567175FC"/>
    <w:rsid w:val="56E90ADE"/>
    <w:rsid w:val="57293D16"/>
    <w:rsid w:val="572F0F20"/>
    <w:rsid w:val="5734671F"/>
    <w:rsid w:val="57640510"/>
    <w:rsid w:val="57777541"/>
    <w:rsid w:val="58070251"/>
    <w:rsid w:val="5819155B"/>
    <w:rsid w:val="583A0626"/>
    <w:rsid w:val="58670A27"/>
    <w:rsid w:val="587B479B"/>
    <w:rsid w:val="58883D79"/>
    <w:rsid w:val="588C34A4"/>
    <w:rsid w:val="58D1279F"/>
    <w:rsid w:val="593F70EC"/>
    <w:rsid w:val="596D67DA"/>
    <w:rsid w:val="59710803"/>
    <w:rsid w:val="59AF0BA0"/>
    <w:rsid w:val="59BE0DE3"/>
    <w:rsid w:val="59BE5DFE"/>
    <w:rsid w:val="5A071C80"/>
    <w:rsid w:val="5A132EDD"/>
    <w:rsid w:val="5A3C11E6"/>
    <w:rsid w:val="5A3E4F08"/>
    <w:rsid w:val="5A723BA0"/>
    <w:rsid w:val="5AAA4355"/>
    <w:rsid w:val="5B1F58B2"/>
    <w:rsid w:val="5B345801"/>
    <w:rsid w:val="5B383A30"/>
    <w:rsid w:val="5B386973"/>
    <w:rsid w:val="5B4A5692"/>
    <w:rsid w:val="5B4E6197"/>
    <w:rsid w:val="5B97061F"/>
    <w:rsid w:val="5BA23929"/>
    <w:rsid w:val="5BEB4FA2"/>
    <w:rsid w:val="5C186FA6"/>
    <w:rsid w:val="5C19559C"/>
    <w:rsid w:val="5C2F5028"/>
    <w:rsid w:val="5C3A7331"/>
    <w:rsid w:val="5C7004BA"/>
    <w:rsid w:val="5C913121"/>
    <w:rsid w:val="5CAE15E3"/>
    <w:rsid w:val="5CC6682F"/>
    <w:rsid w:val="5CD23E41"/>
    <w:rsid w:val="5D047419"/>
    <w:rsid w:val="5D4D6A1B"/>
    <w:rsid w:val="5D5C4B9B"/>
    <w:rsid w:val="5D5D7C85"/>
    <w:rsid w:val="5DC41B67"/>
    <w:rsid w:val="5DE72CDE"/>
    <w:rsid w:val="5E2116DC"/>
    <w:rsid w:val="5EAB325C"/>
    <w:rsid w:val="5EB12C47"/>
    <w:rsid w:val="5ED72F6E"/>
    <w:rsid w:val="5F0E3947"/>
    <w:rsid w:val="5F6C1336"/>
    <w:rsid w:val="5FA6729F"/>
    <w:rsid w:val="5FCD5625"/>
    <w:rsid w:val="60336223"/>
    <w:rsid w:val="60763B48"/>
    <w:rsid w:val="60A93AAB"/>
    <w:rsid w:val="60B13450"/>
    <w:rsid w:val="60C64DEC"/>
    <w:rsid w:val="60E318BB"/>
    <w:rsid w:val="610D3E88"/>
    <w:rsid w:val="614C769B"/>
    <w:rsid w:val="615D5E30"/>
    <w:rsid w:val="617215D0"/>
    <w:rsid w:val="617D1584"/>
    <w:rsid w:val="619F3BDB"/>
    <w:rsid w:val="61C17C97"/>
    <w:rsid w:val="61EA6C19"/>
    <w:rsid w:val="62092328"/>
    <w:rsid w:val="621C0D9D"/>
    <w:rsid w:val="625F26DC"/>
    <w:rsid w:val="62B127FE"/>
    <w:rsid w:val="62C70D09"/>
    <w:rsid w:val="62DF50FD"/>
    <w:rsid w:val="62E06D1C"/>
    <w:rsid w:val="63086816"/>
    <w:rsid w:val="63234417"/>
    <w:rsid w:val="634D18BA"/>
    <w:rsid w:val="6379701E"/>
    <w:rsid w:val="637F3391"/>
    <w:rsid w:val="638B6689"/>
    <w:rsid w:val="63B96F30"/>
    <w:rsid w:val="642109C6"/>
    <w:rsid w:val="642B52C7"/>
    <w:rsid w:val="64393E88"/>
    <w:rsid w:val="644A773E"/>
    <w:rsid w:val="64635CD5"/>
    <w:rsid w:val="649519CE"/>
    <w:rsid w:val="64D4595F"/>
    <w:rsid w:val="64DF0042"/>
    <w:rsid w:val="65275CEA"/>
    <w:rsid w:val="653F22BB"/>
    <w:rsid w:val="656A6AEF"/>
    <w:rsid w:val="659D5197"/>
    <w:rsid w:val="65D85E53"/>
    <w:rsid w:val="65EC3CF5"/>
    <w:rsid w:val="66093F61"/>
    <w:rsid w:val="663C6FE6"/>
    <w:rsid w:val="664939DC"/>
    <w:rsid w:val="664A62BB"/>
    <w:rsid w:val="66523DA7"/>
    <w:rsid w:val="667A0C0F"/>
    <w:rsid w:val="667C5CEA"/>
    <w:rsid w:val="6689303F"/>
    <w:rsid w:val="66D02156"/>
    <w:rsid w:val="66E1632B"/>
    <w:rsid w:val="670C35DF"/>
    <w:rsid w:val="672A3C07"/>
    <w:rsid w:val="67303224"/>
    <w:rsid w:val="676E79D1"/>
    <w:rsid w:val="679247EA"/>
    <w:rsid w:val="67F04EB8"/>
    <w:rsid w:val="682E63BC"/>
    <w:rsid w:val="68363A47"/>
    <w:rsid w:val="68B735CD"/>
    <w:rsid w:val="68B97536"/>
    <w:rsid w:val="68CD0C63"/>
    <w:rsid w:val="68EC23C5"/>
    <w:rsid w:val="690347A6"/>
    <w:rsid w:val="69117181"/>
    <w:rsid w:val="696330B9"/>
    <w:rsid w:val="696C43B8"/>
    <w:rsid w:val="6986075F"/>
    <w:rsid w:val="69C1443B"/>
    <w:rsid w:val="69D44009"/>
    <w:rsid w:val="6A2B6D39"/>
    <w:rsid w:val="6B1B5180"/>
    <w:rsid w:val="6B2036AC"/>
    <w:rsid w:val="6B450815"/>
    <w:rsid w:val="6C2D41FA"/>
    <w:rsid w:val="6C783E95"/>
    <w:rsid w:val="6CBD1663"/>
    <w:rsid w:val="6CE81FA7"/>
    <w:rsid w:val="6D080DB6"/>
    <w:rsid w:val="6D0A6E79"/>
    <w:rsid w:val="6D526B82"/>
    <w:rsid w:val="6D57712D"/>
    <w:rsid w:val="6D73287C"/>
    <w:rsid w:val="6DA2127C"/>
    <w:rsid w:val="6DC170C7"/>
    <w:rsid w:val="6DD26689"/>
    <w:rsid w:val="6DEB00BB"/>
    <w:rsid w:val="6E274D51"/>
    <w:rsid w:val="6E2D0AC4"/>
    <w:rsid w:val="6E390902"/>
    <w:rsid w:val="6E5E0801"/>
    <w:rsid w:val="6E6C5320"/>
    <w:rsid w:val="6E720ECF"/>
    <w:rsid w:val="6E77449C"/>
    <w:rsid w:val="6EAD0DD6"/>
    <w:rsid w:val="6EB074EE"/>
    <w:rsid w:val="6F141779"/>
    <w:rsid w:val="6F8932D5"/>
    <w:rsid w:val="6FD82D09"/>
    <w:rsid w:val="6FE71BF7"/>
    <w:rsid w:val="6FF24BF2"/>
    <w:rsid w:val="705362D1"/>
    <w:rsid w:val="706C2EEF"/>
    <w:rsid w:val="70934920"/>
    <w:rsid w:val="70C920F0"/>
    <w:rsid w:val="71141CEF"/>
    <w:rsid w:val="717460EB"/>
    <w:rsid w:val="71CC633B"/>
    <w:rsid w:val="71D820DF"/>
    <w:rsid w:val="72070621"/>
    <w:rsid w:val="726739D4"/>
    <w:rsid w:val="72AD105D"/>
    <w:rsid w:val="72C94629"/>
    <w:rsid w:val="72F77CB0"/>
    <w:rsid w:val="7344280D"/>
    <w:rsid w:val="73551434"/>
    <w:rsid w:val="7370424A"/>
    <w:rsid w:val="738B6460"/>
    <w:rsid w:val="73BB44C3"/>
    <w:rsid w:val="743D6E14"/>
    <w:rsid w:val="748443A7"/>
    <w:rsid w:val="74B4559E"/>
    <w:rsid w:val="74CD6F9F"/>
    <w:rsid w:val="74FF07D6"/>
    <w:rsid w:val="75067C9F"/>
    <w:rsid w:val="753A2460"/>
    <w:rsid w:val="75805C64"/>
    <w:rsid w:val="75AE311E"/>
    <w:rsid w:val="75B76941"/>
    <w:rsid w:val="75EA3234"/>
    <w:rsid w:val="75F57246"/>
    <w:rsid w:val="760308C7"/>
    <w:rsid w:val="765C30F3"/>
    <w:rsid w:val="769C5D43"/>
    <w:rsid w:val="76CF2B36"/>
    <w:rsid w:val="76D34FBC"/>
    <w:rsid w:val="76F24798"/>
    <w:rsid w:val="775E49B8"/>
    <w:rsid w:val="77937BA4"/>
    <w:rsid w:val="77F12834"/>
    <w:rsid w:val="78017D75"/>
    <w:rsid w:val="7892370F"/>
    <w:rsid w:val="78BF3753"/>
    <w:rsid w:val="790F6B0E"/>
    <w:rsid w:val="792879F4"/>
    <w:rsid w:val="794D4880"/>
    <w:rsid w:val="7A073617"/>
    <w:rsid w:val="7A141ECD"/>
    <w:rsid w:val="7A3150B3"/>
    <w:rsid w:val="7A5275FA"/>
    <w:rsid w:val="7A5B079B"/>
    <w:rsid w:val="7A7A3DD4"/>
    <w:rsid w:val="7A7E03EF"/>
    <w:rsid w:val="7A9839C5"/>
    <w:rsid w:val="7A9F3D04"/>
    <w:rsid w:val="7AFE508C"/>
    <w:rsid w:val="7B2A7C2F"/>
    <w:rsid w:val="7B495950"/>
    <w:rsid w:val="7B6F5980"/>
    <w:rsid w:val="7B992E8B"/>
    <w:rsid w:val="7B9E79D3"/>
    <w:rsid w:val="7BAA3619"/>
    <w:rsid w:val="7BB857F2"/>
    <w:rsid w:val="7C176405"/>
    <w:rsid w:val="7C3E3FCE"/>
    <w:rsid w:val="7C5040D0"/>
    <w:rsid w:val="7C640F56"/>
    <w:rsid w:val="7C741973"/>
    <w:rsid w:val="7D11567B"/>
    <w:rsid w:val="7D2C69EB"/>
    <w:rsid w:val="7D4A26D8"/>
    <w:rsid w:val="7D6A2A1C"/>
    <w:rsid w:val="7D6C452F"/>
    <w:rsid w:val="7D734D87"/>
    <w:rsid w:val="7D9074D5"/>
    <w:rsid w:val="7D947862"/>
    <w:rsid w:val="7DDC6DDC"/>
    <w:rsid w:val="7DE6123C"/>
    <w:rsid w:val="7E0917D0"/>
    <w:rsid w:val="7E1A215C"/>
    <w:rsid w:val="7E727357"/>
    <w:rsid w:val="7EA131CA"/>
    <w:rsid w:val="7F232605"/>
    <w:rsid w:val="7F242A70"/>
    <w:rsid w:val="7F482D79"/>
    <w:rsid w:val="7F9513F7"/>
    <w:rsid w:val="7FAB3A34"/>
    <w:rsid w:val="7FB10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spacing w:line="360" w:lineRule="auto"/>
      <w:jc w:val="left"/>
      <w:outlineLvl w:val="0"/>
    </w:pPr>
    <w:rPr>
      <w:bCs/>
      <w:kern w:val="44"/>
      <w:sz w:val="24"/>
      <w:szCs w:val="44"/>
    </w:rPr>
  </w:style>
  <w:style w:type="paragraph" w:styleId="4">
    <w:name w:val="heading 2"/>
    <w:basedOn w:val="1"/>
    <w:next w:val="1"/>
    <w:autoRedefine/>
    <w:qFormat/>
    <w:uiPriority w:val="0"/>
    <w:pPr>
      <w:keepNext/>
      <w:keepLines/>
      <w:spacing w:before="120" w:after="120" w:line="413" w:lineRule="auto"/>
      <w:outlineLvl w:val="1"/>
    </w:pPr>
    <w:rPr>
      <w:rFonts w:ascii="Arial" w:hAnsi="Arial"/>
      <w:b/>
      <w:sz w:val="28"/>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tabs>
        <w:tab w:val="left" w:pos="1191"/>
      </w:tabs>
      <w:outlineLvl w:val="3"/>
    </w:pPr>
    <w:rPr>
      <w:rFonts w:ascii="宋体" w:hAnsi="宋体"/>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rPr>
  </w:style>
  <w:style w:type="paragraph" w:styleId="7">
    <w:name w:val="table of authorities"/>
    <w:basedOn w:val="1"/>
    <w:next w:val="1"/>
    <w:qFormat/>
    <w:uiPriority w:val="0"/>
    <w:pPr>
      <w:ind w:left="420" w:leftChars="200"/>
    </w:pPr>
    <w:rPr>
      <w:szCs w:val="22"/>
    </w:rPr>
  </w:style>
  <w:style w:type="paragraph" w:styleId="8">
    <w:name w:val="Normal Indent"/>
    <w:basedOn w:val="1"/>
    <w:autoRedefine/>
    <w:qFormat/>
    <w:uiPriority w:val="0"/>
    <w:pPr>
      <w:spacing w:line="360" w:lineRule="auto"/>
      <w:ind w:firstLine="454"/>
    </w:pPr>
    <w:rPr>
      <w:sz w:val="24"/>
      <w:szCs w:val="20"/>
    </w:rPr>
  </w:style>
  <w:style w:type="paragraph" w:styleId="9">
    <w:name w:val="annotation text"/>
    <w:basedOn w:val="1"/>
    <w:link w:val="46"/>
    <w:autoRedefine/>
    <w:qFormat/>
    <w:uiPriority w:val="0"/>
    <w:pPr>
      <w:jc w:val="left"/>
    </w:pPr>
  </w:style>
  <w:style w:type="paragraph" w:styleId="10">
    <w:name w:val="Body Text"/>
    <w:basedOn w:val="1"/>
    <w:next w:val="11"/>
    <w:autoRedefine/>
    <w:unhideWhenUsed/>
    <w:qFormat/>
    <w:uiPriority w:val="99"/>
    <w:pPr>
      <w:spacing w:after="120"/>
    </w:p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Body Text Indent"/>
    <w:basedOn w:val="1"/>
    <w:qFormat/>
    <w:uiPriority w:val="0"/>
    <w:pPr>
      <w:ind w:firstLine="560" w:firstLineChars="200"/>
    </w:pPr>
    <w:rPr>
      <w:sz w:val="24"/>
    </w:rPr>
  </w:style>
  <w:style w:type="paragraph" w:styleId="13">
    <w:name w:val="Plain Text"/>
    <w:basedOn w:val="1"/>
    <w:autoRedefine/>
    <w:qFormat/>
    <w:uiPriority w:val="0"/>
    <w:rPr>
      <w:rFonts w:ascii="宋体" w:hAnsi="Courier New"/>
      <w:szCs w:val="20"/>
    </w:rPr>
  </w:style>
  <w:style w:type="paragraph" w:styleId="14">
    <w:name w:val="Balloon Text"/>
    <w:basedOn w:val="1"/>
    <w:link w:val="48"/>
    <w:qFormat/>
    <w:uiPriority w:val="0"/>
    <w:rPr>
      <w:sz w:val="18"/>
      <w:szCs w:val="18"/>
    </w:rPr>
  </w:style>
  <w:style w:type="paragraph" w:styleId="15">
    <w:name w:val="footer"/>
    <w:basedOn w:val="1"/>
    <w:link w:val="49"/>
    <w:autoRedefine/>
    <w:qFormat/>
    <w:uiPriority w:val="99"/>
    <w:pPr>
      <w:tabs>
        <w:tab w:val="center" w:pos="4153"/>
        <w:tab w:val="right" w:pos="8306"/>
      </w:tabs>
      <w:snapToGrid w:val="0"/>
      <w:jc w:val="left"/>
    </w:pPr>
    <w:rPr>
      <w:sz w:val="18"/>
      <w:szCs w:val="18"/>
    </w:rPr>
  </w:style>
  <w:style w:type="paragraph" w:styleId="16">
    <w:name w:val="toc 1"/>
    <w:basedOn w:val="1"/>
    <w:next w:val="1"/>
    <w:autoRedefine/>
    <w:qFormat/>
    <w:uiPriority w:val="39"/>
  </w:style>
  <w:style w:type="paragraph" w:styleId="17">
    <w:name w:val="toc 2"/>
    <w:basedOn w:val="1"/>
    <w:next w:val="1"/>
    <w:autoRedefine/>
    <w:qFormat/>
    <w:uiPriority w:val="39"/>
    <w:pPr>
      <w:ind w:left="420" w:leftChars="200"/>
    </w:pPr>
  </w:style>
  <w:style w:type="paragraph" w:styleId="18">
    <w:name w:val="HTML Preformatted"/>
    <w:basedOn w:val="1"/>
    <w:next w:val="1"/>
    <w:link w:val="4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next w:val="1"/>
    <w:autoRedefine/>
    <w:qFormat/>
    <w:uiPriority w:val="0"/>
    <w:pPr>
      <w:spacing w:beforeAutospacing="1" w:afterAutospacing="1"/>
      <w:jc w:val="left"/>
    </w:pPr>
    <w:rPr>
      <w:kern w:val="0"/>
      <w:sz w:val="24"/>
    </w:rPr>
  </w:style>
  <w:style w:type="paragraph" w:styleId="20">
    <w:name w:val="annotation subject"/>
    <w:basedOn w:val="9"/>
    <w:next w:val="9"/>
    <w:link w:val="47"/>
    <w:qFormat/>
    <w:uiPriority w:val="0"/>
    <w:rPr>
      <w:b/>
      <w:bCs/>
    </w:rPr>
  </w:style>
  <w:style w:type="paragraph" w:styleId="21">
    <w:name w:val="Body Text First Indent"/>
    <w:basedOn w:val="10"/>
    <w:next w:val="1"/>
    <w:autoRedefine/>
    <w:qFormat/>
    <w:uiPriority w:val="0"/>
    <w:pPr>
      <w:ind w:firstLine="420" w:firstLineChars="100"/>
    </w:pPr>
  </w:style>
  <w:style w:type="paragraph" w:styleId="22">
    <w:name w:val="Body Text First Indent 2"/>
    <w:basedOn w:val="12"/>
    <w:qFormat/>
    <w:uiPriority w:val="0"/>
    <w:pPr>
      <w:spacing w:after="0"/>
      <w:ind w:left="0" w:leftChars="0" w:firstLine="420" w:firstLineChars="200"/>
    </w:pPr>
    <w:rPr>
      <w:rFonts w:ascii="宋体" w:hAnsi="宋体"/>
      <w:sz w:val="28"/>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basedOn w:val="25"/>
    <w:autoRedefine/>
    <w:qFormat/>
    <w:uiPriority w:val="99"/>
    <w:rPr>
      <w:color w:val="0000FF"/>
      <w:u w:val="single"/>
    </w:rPr>
  </w:style>
  <w:style w:type="character" w:styleId="28">
    <w:name w:val="annotation reference"/>
    <w:basedOn w:val="25"/>
    <w:qFormat/>
    <w:uiPriority w:val="0"/>
    <w:rPr>
      <w:sz w:val="21"/>
      <w:szCs w:val="21"/>
    </w:rPr>
  </w:style>
  <w:style w:type="character" w:styleId="29">
    <w:name w:val="HTML Sample"/>
    <w:basedOn w:val="25"/>
    <w:autoRedefine/>
    <w:qFormat/>
    <w:uiPriority w:val="0"/>
    <w:rPr>
      <w:rFonts w:ascii="Courier New" w:hAnsi="Courier New"/>
    </w:rPr>
  </w:style>
  <w:style w:type="paragraph" w:customStyle="1" w:styleId="30">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1">
    <w:name w:val="font61"/>
    <w:basedOn w:val="25"/>
    <w:autoRedefine/>
    <w:qFormat/>
    <w:uiPriority w:val="0"/>
    <w:rPr>
      <w:rFonts w:hint="eastAsia" w:ascii="宋体" w:hAnsi="宋体" w:eastAsia="宋体" w:cs="宋体"/>
      <w:color w:val="000000"/>
      <w:sz w:val="24"/>
      <w:szCs w:val="24"/>
      <w:u w:val="none"/>
    </w:rPr>
  </w:style>
  <w:style w:type="character" w:customStyle="1" w:styleId="32">
    <w:name w:val="font51"/>
    <w:basedOn w:val="25"/>
    <w:autoRedefine/>
    <w:qFormat/>
    <w:uiPriority w:val="0"/>
    <w:rPr>
      <w:rFonts w:hint="default" w:ascii="Times New Roman" w:hAnsi="Times New Roman" w:cs="Times New Roman"/>
      <w:color w:val="000000"/>
      <w:sz w:val="24"/>
      <w:szCs w:val="24"/>
      <w:u w:val="none"/>
    </w:rPr>
  </w:style>
  <w:style w:type="paragraph" w:customStyle="1" w:styleId="33">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4">
    <w:name w:val="样式1"/>
    <w:autoRedefine/>
    <w:qFormat/>
    <w:uiPriority w:val="0"/>
    <w:pPr>
      <w:widowControl w:val="0"/>
      <w:jc w:val="center"/>
    </w:pPr>
    <w:rPr>
      <w:rFonts w:ascii="宋体" w:hAnsi="宋体" w:eastAsia="宋体" w:cs="Times New Roman"/>
      <w:kern w:val="2"/>
      <w:sz w:val="30"/>
      <w:szCs w:val="28"/>
      <w:lang w:val="en-US" w:eastAsia="zh-CN" w:bidi="ar-SA"/>
    </w:rPr>
  </w:style>
  <w:style w:type="paragraph" w:customStyle="1" w:styleId="35">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36">
    <w:name w:val="_Style 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37">
    <w:name w:val="font41"/>
    <w:basedOn w:val="25"/>
    <w:autoRedefine/>
    <w:qFormat/>
    <w:uiPriority w:val="0"/>
    <w:rPr>
      <w:rFonts w:hint="default" w:ascii="Times New Roman" w:hAnsi="Times New Roman" w:cs="Times New Roman"/>
      <w:color w:val="000000"/>
      <w:sz w:val="22"/>
      <w:szCs w:val="22"/>
      <w:u w:val="none"/>
    </w:rPr>
  </w:style>
  <w:style w:type="character" w:customStyle="1" w:styleId="38">
    <w:name w:val="font31"/>
    <w:basedOn w:val="25"/>
    <w:autoRedefine/>
    <w:qFormat/>
    <w:uiPriority w:val="0"/>
    <w:rPr>
      <w:rFonts w:hint="eastAsia" w:ascii="宋体" w:hAnsi="宋体" w:eastAsia="宋体" w:cs="宋体"/>
      <w:color w:val="000000"/>
      <w:sz w:val="24"/>
      <w:szCs w:val="24"/>
      <w:u w:val="none"/>
    </w:rPr>
  </w:style>
  <w:style w:type="character" w:customStyle="1" w:styleId="39">
    <w:name w:val="font01"/>
    <w:basedOn w:val="25"/>
    <w:autoRedefine/>
    <w:qFormat/>
    <w:uiPriority w:val="0"/>
    <w:rPr>
      <w:rFonts w:hint="eastAsia" w:ascii="宋体" w:hAnsi="宋体" w:eastAsia="宋体" w:cs="宋体"/>
      <w:color w:val="000000"/>
      <w:sz w:val="22"/>
      <w:szCs w:val="22"/>
      <w:u w:val="none"/>
    </w:rPr>
  </w:style>
  <w:style w:type="character" w:customStyle="1" w:styleId="40">
    <w:name w:val="font11"/>
    <w:basedOn w:val="25"/>
    <w:autoRedefine/>
    <w:qFormat/>
    <w:uiPriority w:val="0"/>
    <w:rPr>
      <w:rFonts w:hint="eastAsia" w:ascii="宋体" w:hAnsi="宋体" w:eastAsia="宋体" w:cs="宋体"/>
      <w:color w:val="000000"/>
      <w:sz w:val="22"/>
      <w:szCs w:val="22"/>
      <w:u w:val="none"/>
    </w:rPr>
  </w:style>
  <w:style w:type="paragraph" w:customStyle="1" w:styleId="41">
    <w:name w:val="Style1"/>
    <w:basedOn w:val="1"/>
    <w:autoRedefine/>
    <w:qFormat/>
    <w:uiPriority w:val="99"/>
    <w:pPr>
      <w:tabs>
        <w:tab w:val="left" w:pos="-720"/>
      </w:tabs>
      <w:spacing w:after="120"/>
    </w:pPr>
    <w:rPr>
      <w:spacing w:val="-3"/>
      <w:sz w:val="24"/>
      <w:szCs w:val="20"/>
      <w:lang w:val="en-AU" w:eastAsia="en-US"/>
    </w:rPr>
  </w:style>
  <w:style w:type="paragraph" w:styleId="42">
    <w:name w:val="List Paragraph"/>
    <w:basedOn w:val="1"/>
    <w:autoRedefine/>
    <w:qFormat/>
    <w:uiPriority w:val="34"/>
    <w:pPr>
      <w:numPr>
        <w:ilvl w:val="0"/>
        <w:numId w:val="2"/>
      </w:numPr>
      <w:spacing w:line="480" w:lineRule="auto"/>
      <w:ind w:right="240"/>
    </w:pPr>
    <w:rPr>
      <w:rFonts w:ascii="Times New Roman" w:hAnsi="Times New Roman"/>
      <w:sz w:val="24"/>
    </w:rPr>
  </w:style>
  <w:style w:type="paragraph" w:customStyle="1" w:styleId="43">
    <w:name w:val="Style 8 pt Justified Left:  0 cm Hanging:  0.25 cm"/>
    <w:basedOn w:val="1"/>
    <w:autoRedefine/>
    <w:qFormat/>
    <w:uiPriority w:val="0"/>
    <w:pPr>
      <w:widowControl/>
      <w:tabs>
        <w:tab w:val="left" w:pos="142"/>
      </w:tabs>
      <w:ind w:left="142" w:hanging="142"/>
    </w:pPr>
    <w:rPr>
      <w:rFonts w:ascii="Arial" w:hAnsi="Arial"/>
      <w:kern w:val="0"/>
      <w:sz w:val="16"/>
      <w:lang w:eastAsia="en-US"/>
    </w:rPr>
  </w:style>
  <w:style w:type="paragraph" w:customStyle="1" w:styleId="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5">
    <w:name w:val="HTML 预设格式 Char"/>
    <w:basedOn w:val="25"/>
    <w:link w:val="18"/>
    <w:qFormat/>
    <w:uiPriority w:val="0"/>
    <w:rPr>
      <w:rFonts w:ascii="Arial" w:hAnsi="Arial" w:cs="Arial"/>
      <w:sz w:val="21"/>
      <w:szCs w:val="21"/>
    </w:rPr>
  </w:style>
  <w:style w:type="character" w:customStyle="1" w:styleId="46">
    <w:name w:val="批注文字 Char"/>
    <w:basedOn w:val="25"/>
    <w:link w:val="9"/>
    <w:qFormat/>
    <w:uiPriority w:val="0"/>
    <w:rPr>
      <w:rFonts w:ascii="Calibri" w:hAnsi="Calibri"/>
      <w:kern w:val="2"/>
      <w:sz w:val="21"/>
      <w:szCs w:val="24"/>
    </w:rPr>
  </w:style>
  <w:style w:type="character" w:customStyle="1" w:styleId="47">
    <w:name w:val="批注主题 Char"/>
    <w:basedOn w:val="46"/>
    <w:link w:val="20"/>
    <w:qFormat/>
    <w:uiPriority w:val="0"/>
    <w:rPr>
      <w:rFonts w:ascii="Calibri" w:hAnsi="Calibri"/>
      <w:b/>
      <w:bCs/>
      <w:kern w:val="2"/>
      <w:sz w:val="21"/>
      <w:szCs w:val="24"/>
    </w:rPr>
  </w:style>
  <w:style w:type="character" w:customStyle="1" w:styleId="48">
    <w:name w:val="批注框文本 Char"/>
    <w:basedOn w:val="25"/>
    <w:link w:val="14"/>
    <w:qFormat/>
    <w:uiPriority w:val="0"/>
    <w:rPr>
      <w:rFonts w:ascii="Calibri" w:hAnsi="Calibri"/>
      <w:kern w:val="2"/>
      <w:sz w:val="18"/>
      <w:szCs w:val="18"/>
    </w:rPr>
  </w:style>
  <w:style w:type="character" w:customStyle="1" w:styleId="49">
    <w:name w:val="页脚 Char"/>
    <w:basedOn w:val="25"/>
    <w:link w:val="15"/>
    <w:qFormat/>
    <w:uiPriority w:val="99"/>
    <w:rPr>
      <w:rFonts w:ascii="Calibri" w:hAnsi="Calibri"/>
      <w:kern w:val="2"/>
      <w:sz w:val="18"/>
      <w:szCs w:val="18"/>
    </w:rPr>
  </w:style>
  <w:style w:type="table" w:customStyle="1" w:styleId="50">
    <w:name w:val="Table Normal"/>
    <w:autoRedefine/>
    <w:semiHidden/>
    <w:unhideWhenUsed/>
    <w:qFormat/>
    <w:uiPriority w:val="0"/>
    <w:tblPr>
      <w:tblCellMar>
        <w:top w:w="0" w:type="dxa"/>
        <w:left w:w="0" w:type="dxa"/>
        <w:bottom w:w="0" w:type="dxa"/>
        <w:right w:w="0" w:type="dxa"/>
      </w:tblCellMar>
    </w:tblPr>
  </w:style>
  <w:style w:type="paragraph" w:customStyle="1" w:styleId="51">
    <w:name w:val="Table Text"/>
    <w:basedOn w:val="1"/>
    <w:semiHidden/>
    <w:qFormat/>
    <w:uiPriority w:val="0"/>
    <w:rPr>
      <w:rFonts w:ascii="宋体" w:hAnsi="宋体" w:eastAsia="宋体" w:cs="宋体"/>
      <w:sz w:val="24"/>
      <w:szCs w:val="24"/>
      <w:lang w:val="en-US" w:eastAsia="en-US" w:bidi="ar-SA"/>
    </w:rPr>
  </w:style>
  <w:style w:type="paragraph" w:customStyle="1" w:styleId="52">
    <w:name w:val="null3"/>
    <w:hidden/>
    <w:qFormat/>
    <w:uiPriority w:val="0"/>
    <w:rPr>
      <w:rFonts w:hint="eastAsia" w:asciiTheme="minorHAnsi" w:hAnsiTheme="minorHAnsi" w:eastAsiaTheme="minorEastAsia" w:cstheme="minorBidi"/>
      <w:lang w:val="en-US" w:eastAsia="zh-Hans"/>
    </w:rPr>
  </w:style>
  <w:style w:type="paragraph" w:customStyle="1" w:styleId="53">
    <w:name w:val="正文首行缩进 21"/>
    <w:basedOn w:val="54"/>
    <w:next w:val="19"/>
    <w:qFormat/>
    <w:uiPriority w:val="0"/>
    <w:pPr>
      <w:ind w:left="200" w:leftChars="200" w:firstLine="200" w:firstLineChars="200"/>
    </w:pPr>
    <w:rPr>
      <w:rFonts w:ascii="Times New Roman" w:hAnsi="Times New Roman" w:eastAsia="FangSong_GB2312" w:cs="Times New Roman"/>
      <w:sz w:val="32"/>
      <w:szCs w:val="32"/>
    </w:rPr>
  </w:style>
  <w:style w:type="paragraph" w:customStyle="1" w:styleId="54">
    <w:name w:val="正文文本缩进1"/>
    <w:qFormat/>
    <w:uiPriority w:val="0"/>
    <w:pPr>
      <w:widowControl w:val="0"/>
      <w:ind w:left="200" w:leftChars="200"/>
      <w:jc w:val="both"/>
    </w:pPr>
    <w:rPr>
      <w:rFonts w:ascii="Times New Roman" w:hAnsi="Times New Roman" w:eastAsia="仿宋_GB2312" w:cs="Times New Roman"/>
      <w:kern w:val="2"/>
      <w:sz w:val="32"/>
      <w:szCs w:val="32"/>
      <w:lang w:val="en-US" w:eastAsia="zh-CN" w:bidi="ar-SA"/>
    </w:rPr>
  </w:style>
  <w:style w:type="character" w:customStyle="1" w:styleId="55">
    <w:name w:val="NormalCharacter"/>
    <w:autoRedefine/>
    <w:qFormat/>
    <w:uiPriority w:val="0"/>
    <w:rPr>
      <w:rFonts w:ascii="宋体" w:hAnsi="宋体" w:eastAsia="宋体" w:cs="宋体"/>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B2D568-FB5C-4F3F-ABE8-DBEC6938CAF6}">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26909</Words>
  <Characters>28486</Characters>
  <Lines>465</Lines>
  <Paragraphs>130</Paragraphs>
  <TotalTime>55</TotalTime>
  <ScaleCrop>false</ScaleCrop>
  <LinksUpToDate>false</LinksUpToDate>
  <CharactersWithSpaces>28941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2023-10-24T06:07:00Z</dcterms:created>
  <dc:creator>萍</dc:creator>
  <cp:lastModifiedBy>提示</cp:lastModifiedBy>
  <cp:lastPrinted>2024-04-09T00:23:00Z</cp:lastPrinted>
  <dcterms:modified xsi:type="dcterms:W3CDTF">2025-06-09T08:27:03Z</dcterms:modified>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7EBD12AC6D794C7987DA218D8C1883D0_11</vt:lpwstr>
  </property>
  <property fmtid="{D5CDD505-2E9C-101B-9397-08002B2CF9AE}" pid="4" name="KSOTemplateDocerSaveRecord">
    <vt:lpwstr>eyJoZGlkIjoiMDg5OGUwODM0ZGY5ZDIyYzdmMzM1ZTNjMTE5ZThlMDgiLCJ1c2VySWQiOiIzMTg5NTI1MTYifQ==</vt:lpwstr>
  </property>
</Properties>
</file>